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30601" w14:textId="56C47AD8" w:rsidR="000D16B0" w:rsidRPr="005A6507" w:rsidRDefault="000D16B0" w:rsidP="000D16B0">
      <w:pPr>
        <w:jc w:val="left"/>
        <w:rPr>
          <w:rFonts w:asciiTheme="minorHAnsi" w:hAnsiTheme="minorHAnsi" w:cstheme="minorHAnsi"/>
          <w:color w:val="0D0D0D" w:themeColor="text1" w:themeTint="F2"/>
          <w:szCs w:val="20"/>
        </w:rPr>
      </w:pPr>
      <w:r w:rsidRPr="005A6507">
        <w:rPr>
          <w:rFonts w:asciiTheme="minorHAnsi" w:hAnsiTheme="minorHAnsi" w:cstheme="minorHAnsi"/>
          <w:color w:val="0D0D0D" w:themeColor="text1" w:themeTint="F2"/>
          <w:szCs w:val="20"/>
        </w:rPr>
        <w:t>Информация, подлежащая раскрытию для получателей финансовых услуг в соответствии с Базовым</w:t>
      </w:r>
      <w:r w:rsidR="003E3BFA">
        <w:rPr>
          <w:rFonts w:asciiTheme="minorHAnsi" w:hAnsiTheme="minorHAnsi" w:cstheme="minorHAnsi"/>
          <w:color w:val="0D0D0D" w:themeColor="text1" w:themeTint="F2"/>
          <w:szCs w:val="20"/>
        </w:rPr>
        <w:t xml:space="preserve">и </w:t>
      </w:r>
      <w:r w:rsidRPr="005A6507">
        <w:rPr>
          <w:rFonts w:asciiTheme="minorHAnsi" w:hAnsiTheme="minorHAnsi" w:cstheme="minorHAnsi"/>
          <w:color w:val="0D0D0D" w:themeColor="text1" w:themeTint="F2"/>
          <w:szCs w:val="20"/>
        </w:rPr>
        <w:t>стандарт</w:t>
      </w:r>
      <w:r w:rsidR="003E3BFA">
        <w:rPr>
          <w:rFonts w:asciiTheme="minorHAnsi" w:hAnsiTheme="minorHAnsi" w:cstheme="minorHAnsi"/>
          <w:color w:val="0D0D0D" w:themeColor="text1" w:themeTint="F2"/>
          <w:szCs w:val="20"/>
        </w:rPr>
        <w:t>ами</w:t>
      </w:r>
      <w:r w:rsidRPr="005A6507">
        <w:rPr>
          <w:rFonts w:asciiTheme="minorHAnsi" w:hAnsiTheme="minorHAnsi" w:cstheme="minorHAnsi"/>
          <w:color w:val="0D0D0D" w:themeColor="text1" w:themeTint="F2"/>
          <w:szCs w:val="20"/>
        </w:rPr>
        <w:t xml:space="preserve">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</w:t>
      </w:r>
      <w:r w:rsidR="003E3BFA">
        <w:rPr>
          <w:rFonts w:asciiTheme="minorHAnsi" w:hAnsiTheme="minorHAnsi" w:cstheme="minorHAnsi"/>
          <w:color w:val="0D0D0D" w:themeColor="text1" w:themeTint="F2"/>
          <w:szCs w:val="20"/>
        </w:rPr>
        <w:t>депозитариев и регистраторов</w:t>
      </w:r>
    </w:p>
    <w:p w14:paraId="4A7A1B8B" w14:textId="77777777" w:rsidR="000D16B0" w:rsidRPr="005A6507" w:rsidRDefault="000D16B0" w:rsidP="000D16B0">
      <w:pPr>
        <w:spacing w:line="259" w:lineRule="auto"/>
        <w:ind w:left="604"/>
        <w:jc w:val="left"/>
        <w:rPr>
          <w:rFonts w:asciiTheme="minorHAnsi" w:hAnsiTheme="minorHAnsi" w:cstheme="minorHAnsi"/>
          <w:b w:val="0"/>
          <w:color w:val="0D0D0D" w:themeColor="text1" w:themeTint="F2"/>
          <w:szCs w:val="20"/>
        </w:rPr>
      </w:pPr>
      <w:r w:rsidRPr="005A6507">
        <w:rPr>
          <w:rFonts w:asciiTheme="minorHAnsi" w:hAnsiTheme="minorHAnsi" w:cstheme="minorHAnsi"/>
          <w:b w:val="0"/>
          <w:color w:val="0D0D0D" w:themeColor="text1" w:themeTint="F2"/>
          <w:szCs w:val="20"/>
        </w:rPr>
        <w:t xml:space="preserve"> </w:t>
      </w:r>
    </w:p>
    <w:tbl>
      <w:tblPr>
        <w:tblStyle w:val="TableGrid"/>
        <w:tblW w:w="9784" w:type="dxa"/>
        <w:tblInd w:w="-283" w:type="dxa"/>
        <w:tblCellMar>
          <w:top w:w="6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794"/>
        <w:gridCol w:w="4034"/>
        <w:gridCol w:w="4956"/>
      </w:tblGrid>
      <w:tr w:rsidR="000D16B0" w:rsidRPr="005A6507" w14:paraId="64B97845" w14:textId="77777777" w:rsidTr="003E32F8">
        <w:trPr>
          <w:trHeight w:val="42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92C4" w14:textId="77777777" w:rsidR="000D16B0" w:rsidRPr="005A6507" w:rsidRDefault="000D16B0" w:rsidP="00076BD4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Номер </w:t>
            </w:r>
            <w:proofErr w:type="spellStart"/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пп</w:t>
            </w:r>
            <w:proofErr w:type="spellEnd"/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38ED" w14:textId="77777777" w:rsidR="000D16B0" w:rsidRPr="005A6507" w:rsidRDefault="000D16B0" w:rsidP="00076BD4">
            <w:pPr>
              <w:spacing w:line="259" w:lineRule="auto"/>
              <w:ind w:right="47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Наименование информации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C021" w14:textId="77777777" w:rsidR="000D16B0" w:rsidRPr="005A6507" w:rsidRDefault="000D16B0" w:rsidP="00076BD4">
            <w:pPr>
              <w:spacing w:line="259" w:lineRule="auto"/>
              <w:ind w:right="54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Состав/Раскрытие информации </w:t>
            </w:r>
          </w:p>
        </w:tc>
      </w:tr>
      <w:tr w:rsidR="000D16B0" w:rsidRPr="005A6507" w14:paraId="15F8D1D2" w14:textId="77777777" w:rsidTr="00076BD4">
        <w:trPr>
          <w:trHeight w:val="425"/>
        </w:trPr>
        <w:tc>
          <w:tcPr>
            <w:tcW w:w="9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D771" w14:textId="77777777" w:rsidR="000D16B0" w:rsidRPr="005A6507" w:rsidRDefault="000D16B0" w:rsidP="00076BD4">
            <w:pPr>
              <w:spacing w:after="15" w:line="259" w:lineRule="auto"/>
              <w:ind w:left="720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</w:p>
          <w:p w14:paraId="7120E4DC" w14:textId="325B2B11" w:rsidR="000D16B0" w:rsidRPr="005A6507" w:rsidRDefault="000D16B0" w:rsidP="00076BD4">
            <w:pPr>
              <w:tabs>
                <w:tab w:val="center" w:pos="2236"/>
              </w:tabs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1. </w:t>
            </w:r>
            <w:r w:rsidR="003E3BFA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Общая информация </w:t>
            </w:r>
          </w:p>
        </w:tc>
      </w:tr>
      <w:tr w:rsidR="000D16B0" w:rsidRPr="005A6507" w14:paraId="5EA05D0E" w14:textId="77777777" w:rsidTr="003E32F8">
        <w:trPr>
          <w:trHeight w:val="166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2F8C" w14:textId="77777777" w:rsidR="000D16B0" w:rsidRPr="005A6507" w:rsidRDefault="000D16B0" w:rsidP="00076BD4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1.1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C18F" w14:textId="6D196CFB" w:rsidR="000D16B0" w:rsidRPr="005A6507" w:rsidRDefault="000D16B0" w:rsidP="00076BD4">
            <w:pPr>
              <w:spacing w:line="246" w:lineRule="auto"/>
              <w:ind w:left="2" w:right="2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1. Полное и сокращенное (при наличии) фирменное наименование (в соответствии со сведениями, указанными в Едином государственном реестре юридических лиц и в уставе) </w:t>
            </w:r>
          </w:p>
          <w:p w14:paraId="4AD07187" w14:textId="77777777" w:rsidR="000D16B0" w:rsidRPr="005A6507" w:rsidRDefault="000D16B0" w:rsidP="00076BD4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1525" w14:textId="77777777" w:rsidR="000D16B0" w:rsidRPr="005A6507" w:rsidRDefault="000D16B0" w:rsidP="00076BD4">
            <w:pPr>
              <w:spacing w:after="14"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Полное фирменное наименование –  </w:t>
            </w:r>
          </w:p>
          <w:p w14:paraId="4D5802C2" w14:textId="77777777" w:rsidR="000D16B0" w:rsidRPr="005A6507" w:rsidRDefault="000D16B0" w:rsidP="00076BD4">
            <w:pPr>
              <w:spacing w:after="16"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Общество с ограниченной ответственностью «РБРУ Специализированный депозитарий»</w:t>
            </w:r>
          </w:p>
          <w:p w14:paraId="446EAFE8" w14:textId="77777777" w:rsidR="000D16B0" w:rsidRPr="005A6507" w:rsidRDefault="000D16B0" w:rsidP="00076BD4">
            <w:pPr>
              <w:spacing w:after="16"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</w:p>
          <w:p w14:paraId="655F328B" w14:textId="77777777" w:rsidR="000D16B0" w:rsidRPr="005A6507" w:rsidRDefault="000D16B0" w:rsidP="00076BD4">
            <w:pPr>
              <w:spacing w:after="14"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Сокращенное фирменное наименование –  </w:t>
            </w:r>
          </w:p>
          <w:p w14:paraId="2530DD23" w14:textId="11D2D8F0" w:rsidR="000D16B0" w:rsidRPr="005A6507" w:rsidRDefault="000D16B0" w:rsidP="00076BD4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ООО «РБРУ СД» </w:t>
            </w:r>
          </w:p>
        </w:tc>
      </w:tr>
      <w:tr w:rsidR="000D16B0" w:rsidRPr="005A6507" w14:paraId="329B87D7" w14:textId="77777777" w:rsidTr="003E32F8">
        <w:trPr>
          <w:trHeight w:val="214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DE04" w14:textId="77777777" w:rsidR="000D16B0" w:rsidRPr="005A6507" w:rsidRDefault="000D16B0" w:rsidP="00076BD4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1.2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4604" w14:textId="77777777" w:rsidR="00E74074" w:rsidRPr="00E74074" w:rsidRDefault="00E74074" w:rsidP="00E74074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E74074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Лицензия на осуществление</w:t>
            </w:r>
          </w:p>
          <w:p w14:paraId="000CE664" w14:textId="77777777" w:rsidR="00E74074" w:rsidRPr="00E74074" w:rsidRDefault="00E74074" w:rsidP="00E74074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E74074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профессиональной деятельности на</w:t>
            </w:r>
          </w:p>
          <w:p w14:paraId="09EF4321" w14:textId="77777777" w:rsidR="00E74074" w:rsidRPr="00E74074" w:rsidRDefault="00E74074" w:rsidP="00E74074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E74074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рынке ценных бумаг (номер, дата</w:t>
            </w:r>
          </w:p>
          <w:p w14:paraId="403829ED" w14:textId="3AEEF054" w:rsidR="00E74074" w:rsidRPr="00E74074" w:rsidRDefault="00E74074" w:rsidP="00E74074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E74074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выдачи и срок действия)</w:t>
            </w:r>
          </w:p>
          <w:p w14:paraId="45AD4735" w14:textId="0376D438" w:rsidR="000D16B0" w:rsidRPr="005A6507" w:rsidRDefault="000D16B0" w:rsidP="00076BD4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9B7D" w14:textId="4612CA78" w:rsidR="000D16B0" w:rsidRPr="005A6507" w:rsidRDefault="00E74074" w:rsidP="00076BD4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E74074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1) </w:t>
            </w:r>
            <w:r w:rsidR="000D16B0"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Лицензия на осуществление деятельности по ведению реестра владельцев ценных бумаг </w:t>
            </w:r>
          </w:p>
          <w:p w14:paraId="2406DF15" w14:textId="77777777" w:rsidR="000D16B0" w:rsidRPr="005A6507" w:rsidRDefault="000D16B0" w:rsidP="00076BD4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№ 045-14250-000001 от 23 декабря 2024 г. </w:t>
            </w:r>
          </w:p>
          <w:p w14:paraId="088678AC" w14:textId="2C671C99" w:rsidR="000D16B0" w:rsidRPr="005A6507" w:rsidRDefault="000D16B0" w:rsidP="00E74074">
            <w:pPr>
              <w:spacing w:after="14"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  <w:r w:rsidR="00E74074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  <w:lang w:val="en-US"/>
              </w:rPr>
              <w:t>C</w:t>
            </w: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рок действия: без ограничения срока действия </w:t>
            </w:r>
          </w:p>
          <w:p w14:paraId="2E705A7D" w14:textId="7ECBDD9B" w:rsidR="000D16B0" w:rsidRDefault="000D16B0" w:rsidP="00E74074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  <w:r w:rsidR="00E74074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О</w:t>
            </w: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рган, выдавший лицензию: Центральный Банк Российской Федерации  </w:t>
            </w:r>
          </w:p>
          <w:p w14:paraId="660E1A46" w14:textId="77777777" w:rsidR="00E74074" w:rsidRPr="005A6507" w:rsidRDefault="00E74074" w:rsidP="00E74074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</w:p>
          <w:p w14:paraId="1ADB0496" w14:textId="77777777" w:rsidR="00E74074" w:rsidRPr="00E74074" w:rsidRDefault="000D16B0" w:rsidP="00E74074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  <w:r w:rsidR="00E74074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2) </w:t>
            </w:r>
            <w:r w:rsidR="00E74074" w:rsidRPr="00E74074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Лицензия на осуществление депозитарной деятельности</w:t>
            </w:r>
          </w:p>
          <w:p w14:paraId="5F4BA6B0" w14:textId="77777777" w:rsidR="00E74074" w:rsidRPr="00E74074" w:rsidRDefault="00E74074" w:rsidP="00E74074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E74074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№ 045-14164-000100 от 15 ноября 2022 г.</w:t>
            </w:r>
          </w:p>
          <w:p w14:paraId="7446909D" w14:textId="77777777" w:rsidR="00E74074" w:rsidRPr="00E74074" w:rsidRDefault="00E74074" w:rsidP="00E74074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E74074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Срок действия: без ограничения срока действия</w:t>
            </w:r>
          </w:p>
          <w:p w14:paraId="274C3BB6" w14:textId="010D7EB5" w:rsidR="000D16B0" w:rsidRPr="005A6507" w:rsidRDefault="00E74074" w:rsidP="00E74074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E74074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Орган, выдавший лицензию: Центральный Банк Российской</w:t>
            </w:r>
            <w:r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  <w:r w:rsidRPr="00E74074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Федерации</w:t>
            </w:r>
          </w:p>
        </w:tc>
      </w:tr>
      <w:tr w:rsidR="000D16B0" w:rsidRPr="005A6507" w14:paraId="76E8DBB2" w14:textId="77777777" w:rsidTr="003E32F8">
        <w:trPr>
          <w:trHeight w:val="166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0AF7" w14:textId="77777777" w:rsidR="000D16B0" w:rsidRPr="005A6507" w:rsidRDefault="000D16B0" w:rsidP="00076BD4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1.3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609F" w14:textId="77777777" w:rsidR="000D16B0" w:rsidRPr="005A6507" w:rsidRDefault="000D16B0" w:rsidP="00076BD4">
            <w:pPr>
              <w:spacing w:line="246" w:lineRule="auto"/>
              <w:ind w:left="2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Членство в саморегулируемой организации (СРО), с указанием наименования СРО, адреса сайта СРО в сети "Интернет" и ее стандартах по защите прав и интересов получателей финансовых услуг </w:t>
            </w:r>
          </w:p>
          <w:p w14:paraId="7183AB1F" w14:textId="77777777" w:rsidR="000D16B0" w:rsidRPr="005A6507" w:rsidRDefault="000D16B0" w:rsidP="00076BD4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45A7" w14:textId="1EDA752D" w:rsidR="000D16B0" w:rsidRPr="005A6507" w:rsidRDefault="000D16B0" w:rsidP="007E7BC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ООО «РБРУ СД» является членом СРО Национальная ассоциация участников фондового рынка (НАУФОР) с </w:t>
            </w:r>
          </w:p>
          <w:p w14:paraId="440A0942" w14:textId="77777777" w:rsidR="000D16B0" w:rsidRPr="005A6507" w:rsidRDefault="000D16B0" w:rsidP="00076BD4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29.12.2022 </w:t>
            </w:r>
          </w:p>
          <w:p w14:paraId="501210E7" w14:textId="0B3ADA28" w:rsidR="000D16B0" w:rsidRPr="005A6507" w:rsidRDefault="000D16B0" w:rsidP="00076BD4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Адрес сайта</w:t>
            </w:r>
            <w:r w:rsidR="003E3BFA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СРО</w:t>
            </w: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: </w:t>
            </w:r>
            <w:hyperlink r:id="rId7" w:history="1">
              <w:r w:rsidR="003E3BFA" w:rsidRPr="00732B0A">
                <w:rPr>
                  <w:rStyle w:val="a3"/>
                  <w:rFonts w:asciiTheme="minorHAnsi" w:hAnsiTheme="minorHAnsi" w:cstheme="minorHAnsi"/>
                  <w:b w:val="0"/>
                  <w:szCs w:val="20"/>
                </w:rPr>
                <w:t>https://naufor.ru/</w:t>
              </w:r>
            </w:hyperlink>
            <w:r w:rsidR="003E3BFA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  <w:u w:val="single" w:color="0000FF"/>
              </w:rPr>
              <w:t xml:space="preserve"> </w:t>
            </w:r>
            <w:hyperlink r:id="rId8">
              <w:r w:rsidRPr="005A6507">
                <w:rPr>
                  <w:rFonts w:asciiTheme="minorHAnsi" w:hAnsiTheme="minorHAnsi" w:cstheme="minorHAnsi"/>
                  <w:b w:val="0"/>
                  <w:color w:val="0D0D0D" w:themeColor="text1" w:themeTint="F2"/>
                  <w:szCs w:val="20"/>
                </w:rPr>
                <w:t xml:space="preserve"> </w:t>
              </w:r>
            </w:hyperlink>
          </w:p>
          <w:p w14:paraId="50D6ACF9" w14:textId="6D3B1E61" w:rsidR="007E7BC8" w:rsidRPr="007E7BC8" w:rsidRDefault="007E7BC8" w:rsidP="007E7BC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7E7BC8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Стандарты НАУФОР по защите прав и интересов получателей</w:t>
            </w:r>
          </w:p>
          <w:p w14:paraId="56B6B249" w14:textId="77777777" w:rsidR="007E7BC8" w:rsidRPr="007E7BC8" w:rsidRDefault="007E7BC8" w:rsidP="007E7BC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7E7BC8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финансовых услуг:</w:t>
            </w:r>
          </w:p>
          <w:p w14:paraId="69FFFB86" w14:textId="674F46A8" w:rsidR="007E7BC8" w:rsidRPr="007E7BC8" w:rsidRDefault="007E7BC8" w:rsidP="007E7BC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7E7BC8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- по деятельности на ведение реестра владельцев ценных</w:t>
            </w:r>
            <w:r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  <w:r w:rsidRPr="007E7BC8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бумаг:</w:t>
            </w:r>
            <w:r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  <w:hyperlink r:id="rId9" w:history="1">
              <w:r w:rsidRPr="003C5236">
                <w:rPr>
                  <w:rStyle w:val="a3"/>
                  <w:rFonts w:asciiTheme="minorHAnsi" w:hAnsiTheme="minorHAnsi" w:cstheme="minorHAnsi"/>
                  <w:b w:val="0"/>
                  <w:szCs w:val="20"/>
                </w:rPr>
                <w:t>https://naufor.ru/tree.asp?n=31245</w:t>
              </w:r>
            </w:hyperlink>
            <w:r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</w:p>
          <w:p w14:paraId="030877CE" w14:textId="3407CAD1" w:rsidR="000D16B0" w:rsidRPr="005A6507" w:rsidRDefault="007E7BC8" w:rsidP="007E7BC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7E7BC8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- по депозитарной деятельности:</w:t>
            </w:r>
            <w:r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  <w:hyperlink r:id="rId10" w:history="1">
              <w:r w:rsidRPr="003C5236">
                <w:rPr>
                  <w:rStyle w:val="a3"/>
                  <w:rFonts w:asciiTheme="minorHAnsi" w:hAnsiTheme="minorHAnsi" w:cstheme="minorHAnsi"/>
                  <w:b w:val="0"/>
                  <w:szCs w:val="20"/>
                </w:rPr>
                <w:t>https://naufor.ru/tree.asp?n=31012</w:t>
              </w:r>
            </w:hyperlink>
            <w:r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</w:p>
        </w:tc>
      </w:tr>
      <w:tr w:rsidR="000D16B0" w:rsidRPr="005A6507" w14:paraId="146940F0" w14:textId="77777777" w:rsidTr="003E32F8">
        <w:trPr>
          <w:trHeight w:val="498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2EE8" w14:textId="77777777" w:rsidR="000D16B0" w:rsidRPr="005A6507" w:rsidRDefault="000D16B0" w:rsidP="00076BD4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lastRenderedPageBreak/>
              <w:t>1.4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1FCC" w14:textId="77777777" w:rsidR="007E7BC8" w:rsidRPr="005A6507" w:rsidRDefault="000D16B0" w:rsidP="007E7BC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Реквизиты и контактные данные </w:t>
            </w:r>
            <w:r w:rsidR="007E7BC8"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ООО «РБРУ СД» </w:t>
            </w:r>
          </w:p>
          <w:p w14:paraId="05B152C7" w14:textId="5E01B4B7" w:rsidR="000D16B0" w:rsidRPr="005A6507" w:rsidRDefault="000D16B0" w:rsidP="00076BD4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3D42" w14:textId="77777777" w:rsidR="000D16B0" w:rsidRPr="005A6507" w:rsidRDefault="000D16B0" w:rsidP="00076BD4">
            <w:pPr>
              <w:spacing w:line="257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Юридический адрес: 119002, Г. Москва, ВН.ТЕР.Г. МУНИЦИПАЛЬНЫЙ ОКРУГ АРБАТ, ПЛ СМОЛЕНСКАЯ-СЕННАЯ, Д. 28</w:t>
            </w:r>
          </w:p>
          <w:p w14:paraId="56580A2E" w14:textId="77777777" w:rsidR="000D16B0" w:rsidRPr="005A6507" w:rsidRDefault="000D16B0" w:rsidP="00076BD4">
            <w:pPr>
              <w:spacing w:after="16"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Фактический </w:t>
            </w:r>
            <w:proofErr w:type="gramStart"/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адрес:  119002</w:t>
            </w:r>
            <w:proofErr w:type="gramEnd"/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, Г. Москва, ВН.ТЕР.Г. МУНИЦИПАЛЬНЫЙ ОКРУГ АРБАТ, ПЛ СМОЛЕНСКАЯ-СЕННАЯ, Д. 28</w:t>
            </w:r>
          </w:p>
          <w:p w14:paraId="0A8B74A2" w14:textId="77777777" w:rsidR="000D16B0" w:rsidRPr="005A6507" w:rsidRDefault="000D16B0" w:rsidP="00076BD4">
            <w:pPr>
              <w:spacing w:after="16"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Почтовый адрес (адрес для направления корреспонденции): </w:t>
            </w:r>
          </w:p>
          <w:p w14:paraId="2306303D" w14:textId="77777777" w:rsidR="000D16B0" w:rsidRPr="005A6507" w:rsidRDefault="000D16B0" w:rsidP="00076BD4">
            <w:pPr>
              <w:spacing w:after="4"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119002, Г. Москва, ВН.ТЕР.Г. МУНИЦИПАЛЬНЫЙ ОКРУГ АРБАТ, ПЛ СМОЛЕНСКАЯ-СЕННАЯ, Д. 28</w:t>
            </w:r>
          </w:p>
          <w:p w14:paraId="07C3F811" w14:textId="77777777" w:rsidR="007E7BC8" w:rsidRDefault="000D16B0" w:rsidP="007E7BC8">
            <w:pPr>
              <w:spacing w:after="4"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</w:p>
          <w:p w14:paraId="126F3CB3" w14:textId="2B58C680" w:rsidR="000D16B0" w:rsidRPr="005A6507" w:rsidRDefault="000D16B0" w:rsidP="007E7BC8">
            <w:pPr>
              <w:spacing w:after="4"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Адрес электронной почты: rbru-sd@raiffeisen.ru</w:t>
            </w:r>
          </w:p>
          <w:p w14:paraId="507853B4" w14:textId="77777777" w:rsidR="000D16B0" w:rsidRPr="005A6507" w:rsidRDefault="000D16B0" w:rsidP="00076BD4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</w:p>
          <w:p w14:paraId="332FEE78" w14:textId="54CB2A3F" w:rsidR="000D16B0" w:rsidRDefault="007E7BC8" w:rsidP="00076BD4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Т</w:t>
            </w:r>
            <w:r w:rsidR="000D16B0"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елефон: +7 (495) 662-76-51 </w:t>
            </w:r>
          </w:p>
          <w:p w14:paraId="01CBB5AC" w14:textId="77777777" w:rsidR="007E7BC8" w:rsidRDefault="007E7BC8" w:rsidP="00076BD4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</w:p>
          <w:p w14:paraId="0640C638" w14:textId="416D919C" w:rsidR="007E7BC8" w:rsidRPr="005A6507" w:rsidRDefault="007E7BC8" w:rsidP="00076BD4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Адрес сайта: </w:t>
            </w:r>
            <w:hyperlink r:id="rId11" w:history="1">
              <w:r w:rsidRPr="003C5236">
                <w:rPr>
                  <w:rStyle w:val="a3"/>
                  <w:rFonts w:asciiTheme="minorHAnsi" w:hAnsiTheme="minorHAnsi" w:cstheme="minorHAnsi"/>
                  <w:b w:val="0"/>
                  <w:szCs w:val="20"/>
                </w:rPr>
                <w:t>https://rbru-depository.ru/</w:t>
              </w:r>
            </w:hyperlink>
            <w:r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</w:p>
          <w:p w14:paraId="4E6F06EB" w14:textId="77777777" w:rsidR="000D16B0" w:rsidRPr="005A6507" w:rsidRDefault="000D16B0" w:rsidP="00076BD4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</w:p>
        </w:tc>
      </w:tr>
      <w:tr w:rsidR="003E32F8" w:rsidRPr="005A6507" w14:paraId="632DD8F2" w14:textId="77777777" w:rsidTr="005A6507">
        <w:trPr>
          <w:trHeight w:val="281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E951" w14:textId="77777777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1.5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8FC2" w14:textId="77777777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При осуществлении деятельности на рынке ценных бумаг ООО «РБРУ СД» </w:t>
            </w:r>
          </w:p>
          <w:p w14:paraId="62FADC51" w14:textId="40D7CFF0" w:rsidR="003E32F8" w:rsidRDefault="003E32F8" w:rsidP="007E7BC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руководствуется: </w:t>
            </w:r>
          </w:p>
          <w:p w14:paraId="36177427" w14:textId="77777777" w:rsidR="007E7BC8" w:rsidRDefault="007E7BC8" w:rsidP="007E7BC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</w:p>
          <w:p w14:paraId="1FFAD4FB" w14:textId="77777777" w:rsidR="007E7BC8" w:rsidRPr="007E7BC8" w:rsidRDefault="007E7BC8" w:rsidP="007E7BC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7E7BC8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Базовым стандартом защиты прав и интересов физических и юридических лиц-получателей финансовых услуг, оказываемых членами саморегулируемых организаций в сфере финансового рынка, </w:t>
            </w:r>
          </w:p>
          <w:p w14:paraId="0A3574B7" w14:textId="015C197C" w:rsidR="007E7BC8" w:rsidRPr="005A6507" w:rsidRDefault="007E7BC8" w:rsidP="007E7BC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7E7BC8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объединяющих </w:t>
            </w:r>
            <w:r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депозитариев</w:t>
            </w:r>
          </w:p>
          <w:p w14:paraId="4CE2FD45" w14:textId="77777777" w:rsidR="003E32F8" w:rsidRPr="005A6507" w:rsidRDefault="003E32F8" w:rsidP="003E32F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</w:p>
          <w:p w14:paraId="3B1B24D8" w14:textId="77777777" w:rsidR="003E32F8" w:rsidRPr="005A6507" w:rsidRDefault="003E32F8" w:rsidP="003E32F8">
            <w:pPr>
              <w:spacing w:after="24" w:line="248" w:lineRule="auto"/>
              <w:ind w:left="2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Базовым стандартом защиты прав и интересов физических и юридических лиц-получателей финансовых услуг, оказываемых членами саморегулируемых организаций в сфере финансового рынка, </w:t>
            </w:r>
          </w:p>
          <w:p w14:paraId="007C9012" w14:textId="50FEF7EC" w:rsidR="003E32F8" w:rsidRPr="005A6507" w:rsidRDefault="003E32F8" w:rsidP="007E7BC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объединяющих регистраторов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BABC" w14:textId="3B82D51E" w:rsidR="003E32F8" w:rsidRDefault="007E7BC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Базовый стандарт депозитариев:</w:t>
            </w:r>
            <w:r w:rsidR="003E32F8"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</w:p>
          <w:p w14:paraId="04C328F2" w14:textId="4E0674E6" w:rsidR="007E7BC8" w:rsidRPr="005A6507" w:rsidRDefault="00C51F50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hyperlink r:id="rId12" w:history="1">
              <w:r w:rsidR="007E7BC8" w:rsidRPr="003C5236">
                <w:rPr>
                  <w:rStyle w:val="a3"/>
                  <w:rFonts w:asciiTheme="minorHAnsi" w:hAnsiTheme="minorHAnsi" w:cstheme="minorHAnsi"/>
                  <w:b w:val="0"/>
                  <w:szCs w:val="20"/>
                </w:rPr>
                <w:t>https://naufor.ru/tree.asp?n=31012</w:t>
              </w:r>
            </w:hyperlink>
          </w:p>
          <w:p w14:paraId="16BB6451" w14:textId="77777777" w:rsidR="007E7BC8" w:rsidRDefault="007E7BC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</w:p>
          <w:p w14:paraId="6FA14097" w14:textId="77777777" w:rsidR="007E7BC8" w:rsidRDefault="007E7BC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</w:p>
          <w:p w14:paraId="019BA0FC" w14:textId="5619F6D3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Базовый стандарт</w:t>
            </w:r>
            <w:r w:rsidR="007E7BC8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регистраторов</w:t>
            </w: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: </w:t>
            </w:r>
            <w:hyperlink r:id="rId13" w:history="1">
              <w:r w:rsidR="007E7BC8" w:rsidRPr="003C5236">
                <w:rPr>
                  <w:rStyle w:val="a3"/>
                  <w:rFonts w:asciiTheme="minorHAnsi" w:hAnsiTheme="minorHAnsi" w:cstheme="minorHAnsi"/>
                  <w:b w:val="0"/>
                  <w:szCs w:val="20"/>
                </w:rPr>
                <w:t>https://naufor.ru/tree.asp?n=31245</w:t>
              </w:r>
            </w:hyperlink>
          </w:p>
          <w:p w14:paraId="4A7B8497" w14:textId="77777777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</w:p>
          <w:p w14:paraId="7F9A72AA" w14:textId="77777777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</w:p>
        </w:tc>
      </w:tr>
      <w:tr w:rsidR="003E32F8" w:rsidRPr="005A6507" w14:paraId="1FB32F73" w14:textId="77777777" w:rsidTr="003E32F8">
        <w:trPr>
          <w:trHeight w:val="498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990C" w14:textId="77777777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  <w:lang w:val="en-US"/>
              </w:rPr>
              <w:t>2</w:t>
            </w: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5919" w14:textId="6825FBD0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szCs w:val="20"/>
              </w:rPr>
              <w:t>Финансовые услуги и дополнительные услуги, в том числе оказываемые за дополнительную плату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D1C0" w14:textId="77777777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5A6507">
              <w:rPr>
                <w:rFonts w:asciiTheme="minorHAnsi" w:hAnsiTheme="minorHAnsi" w:cstheme="minorHAnsi"/>
                <w:szCs w:val="20"/>
              </w:rPr>
              <w:t xml:space="preserve">Финансовые услуги, непосредственно связанные с услугами, которые оказываются Регистратором в рамках лицензируемой деятельности: </w:t>
            </w:r>
          </w:p>
          <w:p w14:paraId="4AED7908" w14:textId="77777777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szCs w:val="20"/>
              </w:rPr>
              <w:sym w:font="Symbol" w:char="F0B7"/>
            </w:r>
            <w:r w:rsidRPr="005A6507">
              <w:rPr>
                <w:rFonts w:asciiTheme="minorHAnsi" w:hAnsiTheme="minorHAnsi" w:cstheme="minorHAnsi"/>
                <w:b w:val="0"/>
                <w:szCs w:val="20"/>
              </w:rPr>
              <w:t xml:space="preserve"> по ведению реестра владельцев ценных бумаг; </w:t>
            </w:r>
          </w:p>
          <w:p w14:paraId="13491049" w14:textId="77777777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szCs w:val="20"/>
              </w:rPr>
              <w:sym w:font="Symbol" w:char="F0B7"/>
            </w:r>
            <w:r w:rsidRPr="005A6507">
              <w:rPr>
                <w:rFonts w:asciiTheme="minorHAnsi" w:hAnsiTheme="minorHAnsi" w:cstheme="minorHAnsi"/>
                <w:b w:val="0"/>
                <w:szCs w:val="20"/>
              </w:rPr>
              <w:t xml:space="preserve"> в качестве агента по выдаче, погашению и обмену инвестиционных паев, предусмотренные Федеральным законом "Об инвестиционных фондах", или услуги трансфер-агента, предусмотренные Федеральным законом "О рынке ценных бумаг"; </w:t>
            </w:r>
          </w:p>
          <w:p w14:paraId="750274F7" w14:textId="77777777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szCs w:val="20"/>
              </w:rPr>
              <w:sym w:font="Symbol" w:char="F0B7"/>
            </w:r>
            <w:r w:rsidRPr="005A6507">
              <w:rPr>
                <w:rFonts w:asciiTheme="minorHAnsi" w:hAnsiTheme="minorHAnsi" w:cstheme="minorHAnsi"/>
                <w:b w:val="0"/>
                <w:szCs w:val="20"/>
              </w:rPr>
              <w:t xml:space="preserve"> по оказанию содействия в осуществлении прав по ценным бумагам; </w:t>
            </w:r>
          </w:p>
          <w:p w14:paraId="7A4E2DA0" w14:textId="77777777" w:rsidR="0080653C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szCs w:val="20"/>
              </w:rPr>
              <w:sym w:font="Symbol" w:char="F0B7"/>
            </w:r>
            <w:r w:rsidRPr="005A6507">
              <w:rPr>
                <w:rFonts w:asciiTheme="minorHAnsi" w:hAnsiTheme="minorHAnsi" w:cstheme="minorHAnsi"/>
                <w:b w:val="0"/>
                <w:szCs w:val="20"/>
              </w:rPr>
              <w:t xml:space="preserve"> по организации, созыву и проведению общих собраний владельцев ценных бумаг, в том числе по выполнению функций счетной комиссии; </w:t>
            </w:r>
          </w:p>
          <w:p w14:paraId="243943BF" w14:textId="77777777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szCs w:val="20"/>
              </w:rPr>
              <w:sym w:font="Symbol" w:char="F0B7"/>
            </w:r>
            <w:r w:rsidRPr="005A6507">
              <w:rPr>
                <w:rFonts w:asciiTheme="minorHAnsi" w:hAnsiTheme="minorHAnsi" w:cstheme="minorHAnsi"/>
                <w:b w:val="0"/>
                <w:szCs w:val="20"/>
              </w:rPr>
              <w:t xml:space="preserve"> по ведению реестра требований кредиторов, предусмотренного Федеральным законом "О несостоятельности (банкротстве)"; </w:t>
            </w:r>
          </w:p>
          <w:p w14:paraId="43E8AA2A" w14:textId="77777777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szCs w:val="20"/>
              </w:rPr>
              <w:sym w:font="Symbol" w:char="F0B7"/>
            </w:r>
            <w:r w:rsidRPr="005A6507">
              <w:rPr>
                <w:rFonts w:asciiTheme="minorHAnsi" w:hAnsiTheme="minorHAnsi" w:cstheme="minorHAnsi"/>
                <w:b w:val="0"/>
                <w:szCs w:val="20"/>
              </w:rPr>
              <w:t xml:space="preserve"> по предоставлению информации о лицах, осуществляющих права по ценным бумагам;</w:t>
            </w:r>
          </w:p>
          <w:p w14:paraId="4FD4D470" w14:textId="77777777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szCs w:val="20"/>
              </w:rPr>
              <w:lastRenderedPageBreak/>
              <w:t xml:space="preserve"> </w:t>
            </w:r>
            <w:r w:rsidRPr="005A6507">
              <w:rPr>
                <w:rFonts w:asciiTheme="minorHAnsi" w:hAnsiTheme="minorHAnsi" w:cstheme="minorHAnsi"/>
                <w:b w:val="0"/>
                <w:szCs w:val="20"/>
              </w:rPr>
              <w:sym w:font="Symbol" w:char="F0B7"/>
            </w:r>
            <w:r w:rsidRPr="005A6507">
              <w:rPr>
                <w:rFonts w:asciiTheme="minorHAnsi" w:hAnsiTheme="minorHAnsi" w:cstheme="minorHAnsi"/>
                <w:b w:val="0"/>
                <w:szCs w:val="20"/>
              </w:rPr>
              <w:t xml:space="preserve"> по обработке документов, подготовке отчетов (документов), предоставлению информации в связи с осуществлением деятельности регистратора;</w:t>
            </w:r>
          </w:p>
          <w:p w14:paraId="32E6BBF5" w14:textId="77777777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Pr="005A6507">
              <w:rPr>
                <w:rFonts w:asciiTheme="minorHAnsi" w:hAnsiTheme="minorHAnsi" w:cstheme="minorHAnsi"/>
                <w:b w:val="0"/>
                <w:szCs w:val="20"/>
              </w:rPr>
              <w:sym w:font="Symbol" w:char="F0B7"/>
            </w:r>
            <w:r w:rsidRPr="005A6507">
              <w:rPr>
                <w:rFonts w:asciiTheme="minorHAnsi" w:hAnsiTheme="minorHAnsi" w:cstheme="minorHAnsi"/>
                <w:b w:val="0"/>
                <w:szCs w:val="20"/>
              </w:rPr>
              <w:t xml:space="preserve"> эскроу-агента.</w:t>
            </w:r>
          </w:p>
          <w:p w14:paraId="58C575BA" w14:textId="77777777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szCs w:val="20"/>
              </w:rPr>
            </w:pPr>
          </w:p>
          <w:p w14:paraId="2A42449A" w14:textId="66A0E8B5" w:rsidR="003E32F8" w:rsidRPr="005A6507" w:rsidRDefault="0080653C" w:rsidP="003E32F8">
            <w:pPr>
              <w:spacing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Плата за дополнительные услуги </w:t>
            </w:r>
            <w:r w:rsidR="003E32F8" w:rsidRPr="005A6507">
              <w:rPr>
                <w:rFonts w:asciiTheme="minorHAnsi" w:hAnsiTheme="minorHAnsi" w:cstheme="minorHAnsi"/>
                <w:szCs w:val="20"/>
              </w:rPr>
              <w:t>Регистратором не взимается</w:t>
            </w:r>
            <w:r w:rsidR="007E7BC8">
              <w:rPr>
                <w:rFonts w:asciiTheme="minorHAnsi" w:hAnsiTheme="minorHAnsi" w:cstheme="minorHAnsi"/>
                <w:szCs w:val="20"/>
              </w:rPr>
              <w:t>.</w:t>
            </w:r>
          </w:p>
          <w:p w14:paraId="75771ECC" w14:textId="77777777" w:rsidR="003E32F8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</w:p>
          <w:p w14:paraId="199DFCE6" w14:textId="665D04A9" w:rsidR="002C1879" w:rsidRPr="005A6507" w:rsidRDefault="002C1879" w:rsidP="002C1879">
            <w:pPr>
              <w:spacing w:line="259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5A6507">
              <w:rPr>
                <w:rFonts w:asciiTheme="minorHAnsi" w:hAnsiTheme="minorHAnsi" w:cstheme="minorHAnsi"/>
                <w:szCs w:val="20"/>
              </w:rPr>
              <w:t xml:space="preserve">Финансовые услуги, непосредственно связанные с услугами, которые оказываются </w:t>
            </w:r>
            <w:r>
              <w:rPr>
                <w:rFonts w:asciiTheme="minorHAnsi" w:hAnsiTheme="minorHAnsi" w:cstheme="minorHAnsi"/>
                <w:szCs w:val="20"/>
              </w:rPr>
              <w:t>Депозитарием</w:t>
            </w:r>
            <w:r w:rsidRPr="005A6507">
              <w:rPr>
                <w:rFonts w:asciiTheme="minorHAnsi" w:hAnsiTheme="minorHAnsi" w:cstheme="minorHAnsi"/>
                <w:szCs w:val="20"/>
              </w:rPr>
              <w:t xml:space="preserve"> в рамках лицензируемой деятельности: </w:t>
            </w:r>
          </w:p>
          <w:p w14:paraId="097B42CD" w14:textId="7A869F66" w:rsidR="007E7BC8" w:rsidRPr="007E7BC8" w:rsidRDefault="007E7BC8" w:rsidP="007E7BC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</w:p>
          <w:p w14:paraId="4B4E8E3A" w14:textId="58BE5F34" w:rsidR="007E7BC8" w:rsidRPr="005A6507" w:rsidRDefault="007E7BC8" w:rsidP="007E7BC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7E7BC8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Депозитарий оказывает услуги согласно заключенным депозитарным договорам и условиям осуществления депозитарной деятельности. Стоимость услуг указана в тарифах.</w:t>
            </w:r>
          </w:p>
        </w:tc>
      </w:tr>
      <w:tr w:rsidR="003E32F8" w:rsidRPr="005A6507" w14:paraId="27393CA3" w14:textId="77777777" w:rsidTr="005A6507">
        <w:trPr>
          <w:trHeight w:val="140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033A" w14:textId="77777777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lastRenderedPageBreak/>
              <w:t>3.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A79B" w14:textId="77777777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szCs w:val="20"/>
              </w:rPr>
              <w:t>Порядок получения финансовой услуги, в том числе документах, связанных с оказанием финансовых услуг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F7F3" w14:textId="64D74ACC" w:rsidR="00736E72" w:rsidRDefault="00736E72" w:rsidP="00736E72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szCs w:val="20"/>
              </w:rPr>
            </w:pPr>
            <w:r w:rsidRPr="00736E72">
              <w:rPr>
                <w:rFonts w:asciiTheme="minorHAnsi" w:hAnsiTheme="minorHAnsi" w:cstheme="minorHAnsi"/>
                <w:b w:val="0"/>
                <w:szCs w:val="20"/>
              </w:rPr>
              <w:t>В рамках ведения реестра владельцев ценных бумаг – в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Pr="00736E72">
              <w:rPr>
                <w:rFonts w:asciiTheme="minorHAnsi" w:hAnsiTheme="minorHAnsi" w:cstheme="minorHAnsi"/>
                <w:b w:val="0"/>
                <w:szCs w:val="20"/>
              </w:rPr>
              <w:t>соответствии с Правилами ведения реестра владельцев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Pr="00736E72">
              <w:rPr>
                <w:rFonts w:asciiTheme="minorHAnsi" w:hAnsiTheme="minorHAnsi" w:cstheme="minorHAnsi"/>
                <w:b w:val="0"/>
                <w:szCs w:val="20"/>
              </w:rPr>
              <w:t>ценных бумаг, размещены на странице:</w:t>
            </w:r>
          </w:p>
          <w:p w14:paraId="293DF7D3" w14:textId="5519EF57" w:rsidR="00736E72" w:rsidRDefault="00C51F50" w:rsidP="002C1879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szCs w:val="20"/>
              </w:rPr>
            </w:pPr>
            <w:hyperlink r:id="rId14" w:history="1">
              <w:r w:rsidR="00736E72" w:rsidRPr="00732B0A">
                <w:rPr>
                  <w:rStyle w:val="a3"/>
                  <w:rFonts w:asciiTheme="minorHAnsi" w:hAnsiTheme="minorHAnsi" w:cstheme="minorHAnsi"/>
                  <w:b w:val="0"/>
                  <w:szCs w:val="20"/>
                </w:rPr>
                <w:t>https://rbru-depository.ru/documents/</w:t>
              </w:r>
            </w:hyperlink>
            <w:r w:rsidR="00736E72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</w:p>
          <w:p w14:paraId="7A6A64DC" w14:textId="77777777" w:rsidR="00736E72" w:rsidRDefault="00736E72" w:rsidP="002C1879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szCs w:val="20"/>
              </w:rPr>
            </w:pPr>
          </w:p>
          <w:p w14:paraId="7242AF7C" w14:textId="49591AEA" w:rsidR="003E32F8" w:rsidRPr="005A6507" w:rsidRDefault="002C1879" w:rsidP="002C1879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szCs w:val="20"/>
              </w:rPr>
            </w:pPr>
            <w:r w:rsidRPr="002C1879">
              <w:rPr>
                <w:rFonts w:asciiTheme="minorHAnsi" w:hAnsiTheme="minorHAnsi" w:cstheme="minorHAnsi"/>
                <w:b w:val="0"/>
                <w:szCs w:val="20"/>
              </w:rPr>
              <w:t>В рамках депозитарной деятельности – в соответствии с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Pr="002C1879">
              <w:rPr>
                <w:rFonts w:asciiTheme="minorHAnsi" w:hAnsiTheme="minorHAnsi" w:cstheme="minorHAnsi"/>
                <w:b w:val="0"/>
                <w:szCs w:val="20"/>
              </w:rPr>
              <w:t>Условиями осуществления депозитарной деятельности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, размещены на странице</w:t>
            </w:r>
            <w:r w:rsidRPr="002C1879">
              <w:rPr>
                <w:rFonts w:asciiTheme="minorHAnsi" w:hAnsiTheme="minorHAnsi" w:cstheme="minorHAnsi"/>
                <w:b w:val="0"/>
                <w:szCs w:val="20"/>
              </w:rPr>
              <w:t>:</w:t>
            </w:r>
          </w:p>
          <w:p w14:paraId="1273EC97" w14:textId="22D411F3" w:rsidR="003E32F8" w:rsidRDefault="00C51F50" w:rsidP="003E32F8">
            <w:pPr>
              <w:spacing w:line="259" w:lineRule="auto"/>
              <w:jc w:val="left"/>
              <w:rPr>
                <w:rStyle w:val="a3"/>
                <w:rFonts w:asciiTheme="minorHAnsi" w:hAnsiTheme="minorHAnsi" w:cstheme="minorHAnsi"/>
                <w:b w:val="0"/>
                <w:szCs w:val="20"/>
              </w:rPr>
            </w:pPr>
            <w:hyperlink r:id="rId15" w:history="1">
              <w:r w:rsidR="003E32F8" w:rsidRPr="005A6507">
                <w:rPr>
                  <w:rStyle w:val="a3"/>
                  <w:rFonts w:asciiTheme="minorHAnsi" w:hAnsiTheme="minorHAnsi" w:cstheme="minorHAnsi"/>
                  <w:b w:val="0"/>
                  <w:szCs w:val="20"/>
                </w:rPr>
                <w:t>https://rbru-depository.ru/documents/</w:t>
              </w:r>
            </w:hyperlink>
            <w:r w:rsidR="00736E72">
              <w:rPr>
                <w:rStyle w:val="a3"/>
                <w:rFonts w:asciiTheme="minorHAnsi" w:hAnsiTheme="minorHAnsi" w:cstheme="minorHAnsi"/>
                <w:b w:val="0"/>
                <w:szCs w:val="20"/>
              </w:rPr>
              <w:t xml:space="preserve"> </w:t>
            </w:r>
          </w:p>
          <w:p w14:paraId="2B072D2B" w14:textId="77777777" w:rsidR="002C1879" w:rsidRDefault="002C1879" w:rsidP="003E32F8">
            <w:pPr>
              <w:spacing w:line="259" w:lineRule="auto"/>
              <w:jc w:val="left"/>
              <w:rPr>
                <w:rStyle w:val="a3"/>
              </w:rPr>
            </w:pPr>
          </w:p>
          <w:p w14:paraId="7BB8D1EF" w14:textId="61D06D1D" w:rsidR="00736E72" w:rsidRDefault="00736E72" w:rsidP="003E32F8">
            <w:pPr>
              <w:spacing w:line="259" w:lineRule="auto"/>
              <w:jc w:val="left"/>
              <w:rPr>
                <w:rStyle w:val="a3"/>
                <w:rFonts w:asciiTheme="minorHAnsi" w:hAnsiTheme="minorHAnsi" w:cstheme="minorHAnsi"/>
                <w:b w:val="0"/>
                <w:szCs w:val="20"/>
              </w:rPr>
            </w:pPr>
          </w:p>
          <w:p w14:paraId="5C177981" w14:textId="77777777" w:rsidR="002C1879" w:rsidRDefault="002C1879" w:rsidP="003E32F8">
            <w:pPr>
              <w:spacing w:line="259" w:lineRule="auto"/>
              <w:jc w:val="left"/>
              <w:rPr>
                <w:rStyle w:val="a3"/>
              </w:rPr>
            </w:pPr>
          </w:p>
          <w:p w14:paraId="03532182" w14:textId="77777777" w:rsidR="002C1879" w:rsidRPr="005A6507" w:rsidRDefault="002C1879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</w:tr>
      <w:tr w:rsidR="003E32F8" w:rsidRPr="005A6507" w14:paraId="481A4A05" w14:textId="77777777" w:rsidTr="005A6507">
        <w:trPr>
          <w:trHeight w:val="324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0CD6" w14:textId="77777777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4.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537E" w14:textId="77777777" w:rsidR="003E32F8" w:rsidRPr="005A6507" w:rsidRDefault="003E32F8" w:rsidP="003E32F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Орган, осуществляющий полномочия </w:t>
            </w:r>
          </w:p>
          <w:p w14:paraId="269CFC3D" w14:textId="0D1F77D1" w:rsidR="003E32F8" w:rsidRPr="005A6507" w:rsidRDefault="003E32F8" w:rsidP="003E32F8">
            <w:pPr>
              <w:spacing w:after="23" w:line="248" w:lineRule="auto"/>
              <w:ind w:left="2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по контролю и надзору за деятельностью </w:t>
            </w:r>
            <w:r w:rsidR="00736E72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депозитария и р</w:t>
            </w: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егистратора (с указанием наименования такого органа, адреса официального сайта в информационно</w:t>
            </w:r>
            <w:r w:rsidR="00736E72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-</w:t>
            </w: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телекоммуникационной сети </w:t>
            </w:r>
          </w:p>
          <w:p w14:paraId="6F85867A" w14:textId="77777777" w:rsidR="003E32F8" w:rsidRPr="005A6507" w:rsidRDefault="003E32F8" w:rsidP="003E32F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"Интернет")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D9BF" w14:textId="77777777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Центральный банк Российской Федерации (Банк России). </w:t>
            </w:r>
          </w:p>
          <w:p w14:paraId="33A27617" w14:textId="77777777" w:rsidR="003E32F8" w:rsidRPr="005A6507" w:rsidRDefault="003E32F8" w:rsidP="003E32F8">
            <w:pPr>
              <w:spacing w:after="17"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</w:p>
          <w:p w14:paraId="7A991403" w14:textId="77777777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Адрес: ул. Неглинная, 12, Москва, 107016.  </w:t>
            </w:r>
          </w:p>
          <w:p w14:paraId="5DA1B81D" w14:textId="77777777" w:rsidR="003E32F8" w:rsidRPr="005A6507" w:rsidRDefault="003E32F8" w:rsidP="003E32F8">
            <w:pPr>
              <w:spacing w:after="13"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</w:p>
          <w:p w14:paraId="202128A6" w14:textId="77777777" w:rsidR="003E32F8" w:rsidRPr="005A6507" w:rsidRDefault="003E32F8" w:rsidP="003E32F8">
            <w:pPr>
              <w:spacing w:after="8"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Телефоны:  </w:t>
            </w:r>
          </w:p>
          <w:p w14:paraId="3321224D" w14:textId="77777777" w:rsidR="003E32F8" w:rsidRPr="005A6507" w:rsidRDefault="003E32F8" w:rsidP="003E32F8">
            <w:pPr>
              <w:spacing w:after="3"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8 800 300-30-00 (для бесплатных звонков из регионов России),  </w:t>
            </w:r>
          </w:p>
          <w:p w14:paraId="192DAE14" w14:textId="77777777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+7499 300-30-00 (круглосуточно) </w:t>
            </w:r>
          </w:p>
          <w:p w14:paraId="087C0166" w14:textId="77777777" w:rsidR="003E32F8" w:rsidRPr="005A6507" w:rsidRDefault="003E32F8" w:rsidP="003E32F8">
            <w:pPr>
              <w:spacing w:after="5"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</w:p>
          <w:p w14:paraId="184E4826" w14:textId="60F99B29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Адрес официального сайта: </w:t>
            </w:r>
            <w:hyperlink r:id="rId16">
              <w:r w:rsidRPr="005A6507">
                <w:rPr>
                  <w:rFonts w:asciiTheme="minorHAnsi" w:hAnsiTheme="minorHAnsi" w:cstheme="minorHAnsi"/>
                  <w:b w:val="0"/>
                  <w:color w:val="0D0D0D" w:themeColor="text1" w:themeTint="F2"/>
                  <w:szCs w:val="20"/>
                  <w:u w:val="single" w:color="0000FF"/>
                </w:rPr>
                <w:t>https://cbr.ru/</w:t>
              </w:r>
            </w:hyperlink>
            <w:r w:rsidR="003E3BFA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  <w:u w:val="single" w:color="0000FF"/>
              </w:rPr>
              <w:t xml:space="preserve"> </w:t>
            </w:r>
            <w:hyperlink r:id="rId17">
              <w:r w:rsidRPr="005A6507">
                <w:rPr>
                  <w:rFonts w:asciiTheme="minorHAnsi" w:hAnsiTheme="minorHAnsi" w:cstheme="minorHAnsi"/>
                  <w:b w:val="0"/>
                  <w:color w:val="0D0D0D" w:themeColor="text1" w:themeTint="F2"/>
                  <w:szCs w:val="20"/>
                </w:rPr>
                <w:t xml:space="preserve"> </w:t>
              </w:r>
            </w:hyperlink>
          </w:p>
          <w:p w14:paraId="0E32A616" w14:textId="77777777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</w:p>
        </w:tc>
      </w:tr>
      <w:tr w:rsidR="003E32F8" w:rsidRPr="005A6507" w14:paraId="318DF120" w14:textId="77777777" w:rsidTr="005A6507">
        <w:trPr>
          <w:trHeight w:val="507"/>
        </w:trPr>
        <w:tc>
          <w:tcPr>
            <w:tcW w:w="9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8C37" w14:textId="77777777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5.  Способы и адреса направления обращений (жалоб) получателей финансовых услуг  </w:t>
            </w:r>
          </w:p>
        </w:tc>
      </w:tr>
      <w:tr w:rsidR="003E32F8" w:rsidRPr="005A6507" w14:paraId="37D0511A" w14:textId="77777777" w:rsidTr="005A6507">
        <w:trPr>
          <w:trHeight w:val="267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159E" w14:textId="77777777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lastRenderedPageBreak/>
              <w:t xml:space="preserve">5.1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22B2" w14:textId="33118AC3" w:rsidR="003E32F8" w:rsidRPr="005A6507" w:rsidRDefault="003E32F8" w:rsidP="003E32F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в адрес</w:t>
            </w:r>
            <w:r w:rsidR="00736E72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  <w:r w:rsidR="00736E72"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ООО «РБРУ СД» </w:t>
            </w: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C768" w14:textId="77777777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ООО «РБРУ СД» принимает обращения/ жалобы: </w:t>
            </w:r>
          </w:p>
          <w:p w14:paraId="56F391DC" w14:textId="56CB867A" w:rsidR="003E32F8" w:rsidRPr="005A6507" w:rsidRDefault="003E32F8" w:rsidP="003E32F8">
            <w:pPr>
              <w:pStyle w:val="a4"/>
              <w:numPr>
                <w:ilvl w:val="0"/>
                <w:numId w:val="1"/>
              </w:numPr>
              <w:spacing w:after="8"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по электронной почте путём отправки Обращения на электронный адрес Общества: </w:t>
            </w:r>
            <w:hyperlink r:id="rId18" w:history="1">
              <w:r w:rsidR="00736E72" w:rsidRPr="00732B0A">
                <w:rPr>
                  <w:rStyle w:val="a3"/>
                  <w:rFonts w:asciiTheme="minorHAnsi" w:hAnsiTheme="minorHAnsi" w:cstheme="minorHAnsi"/>
                  <w:b w:val="0"/>
                  <w:szCs w:val="20"/>
                </w:rPr>
                <w:t>info.specdep@raiffeisen.ru</w:t>
              </w:r>
            </w:hyperlink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;</w:t>
            </w:r>
          </w:p>
          <w:p w14:paraId="592F7DC9" w14:textId="77777777" w:rsidR="003E32F8" w:rsidRPr="005A6507" w:rsidRDefault="003E32F8" w:rsidP="003E32F8">
            <w:pPr>
              <w:pStyle w:val="a4"/>
              <w:numPr>
                <w:ilvl w:val="0"/>
                <w:numId w:val="1"/>
              </w:numPr>
              <w:spacing w:after="8"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почтовым отправлением по адресу местонахождения Общества: 119002, г. Москва, Смоленская-Сенная площадь, д. 28. </w:t>
            </w:r>
          </w:p>
          <w:p w14:paraId="0DF97232" w14:textId="77777777" w:rsidR="003E32F8" w:rsidRPr="005A6507" w:rsidRDefault="003E32F8" w:rsidP="003E32F8">
            <w:pPr>
              <w:spacing w:after="26"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</w:p>
          <w:p w14:paraId="359EAA67" w14:textId="77777777" w:rsidR="003E32F8" w:rsidRPr="005A6507" w:rsidRDefault="003E32F8" w:rsidP="003E32F8">
            <w:pPr>
              <w:spacing w:line="259" w:lineRule="auto"/>
              <w:ind w:left="708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</w:p>
          <w:p w14:paraId="22FBFAC6" w14:textId="77777777" w:rsidR="003E32F8" w:rsidRPr="005A6507" w:rsidRDefault="003E32F8" w:rsidP="003E32F8">
            <w:pPr>
              <w:spacing w:line="259" w:lineRule="auto"/>
              <w:ind w:left="317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</w:p>
        </w:tc>
      </w:tr>
      <w:tr w:rsidR="003E32F8" w:rsidRPr="005A6507" w14:paraId="0B0D7F96" w14:textId="77777777" w:rsidTr="005A6507">
        <w:trPr>
          <w:trHeight w:val="140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1DBF" w14:textId="77777777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5.2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1747" w14:textId="77777777" w:rsidR="003E32F8" w:rsidRPr="005A6507" w:rsidRDefault="003E32F8" w:rsidP="003E32F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в адрес СРО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F867" w14:textId="77777777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szCs w:val="20"/>
              </w:rPr>
              <w:t>Способы связи с СРО НАУФОР на сайте СРО на странице Контакты и реквизиты:</w:t>
            </w:r>
          </w:p>
          <w:p w14:paraId="09F159C5" w14:textId="77777777" w:rsidR="003E32F8" w:rsidRPr="005A6507" w:rsidRDefault="00C51F50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hyperlink r:id="rId19" w:history="1">
              <w:r w:rsidR="003E32F8" w:rsidRPr="005A6507">
                <w:rPr>
                  <w:rStyle w:val="a3"/>
                  <w:rFonts w:asciiTheme="minorHAnsi" w:hAnsiTheme="minorHAnsi" w:cstheme="minorHAnsi"/>
                  <w:b w:val="0"/>
                  <w:szCs w:val="20"/>
                </w:rPr>
                <w:t>https://naufor.ru/tree.asp?n=4339</w:t>
              </w:r>
            </w:hyperlink>
          </w:p>
        </w:tc>
      </w:tr>
      <w:tr w:rsidR="003E3BFA" w:rsidRPr="005A6507" w14:paraId="3633D3D3" w14:textId="77777777" w:rsidTr="005A6507">
        <w:trPr>
          <w:trHeight w:val="140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6ADB" w14:textId="2E9A9504" w:rsidR="003E3BFA" w:rsidRPr="005A6507" w:rsidRDefault="003E3BFA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5.3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14D3" w14:textId="5F8B6634" w:rsidR="003E3BFA" w:rsidRPr="005A6507" w:rsidRDefault="003E3BFA" w:rsidP="003E32F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В адрес Банка России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9E25" w14:textId="3C3AF5D3" w:rsidR="003E3BFA" w:rsidRPr="003E3BFA" w:rsidRDefault="003E3BFA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bCs/>
                <w:szCs w:val="20"/>
              </w:rPr>
            </w:pPr>
            <w:r w:rsidRPr="003E3BFA">
              <w:rPr>
                <w:rFonts w:asciiTheme="minorHAnsi" w:hAnsiTheme="minorHAnsi" w:cstheme="minorHAnsi"/>
                <w:b w:val="0"/>
                <w:bCs/>
                <w:szCs w:val="20"/>
              </w:rPr>
              <w:t>В </w:t>
            </w:r>
            <w:hyperlink r:id="rId20" w:history="1">
              <w:r w:rsidRPr="003E3BFA">
                <w:rPr>
                  <w:rStyle w:val="a3"/>
                  <w:rFonts w:asciiTheme="minorHAnsi" w:hAnsiTheme="minorHAnsi" w:cstheme="minorHAnsi"/>
                  <w:b w:val="0"/>
                  <w:bCs/>
                  <w:szCs w:val="20"/>
                </w:rPr>
                <w:t>Банк России</w:t>
              </w:r>
            </w:hyperlink>
            <w:r w:rsidRPr="003E3BFA">
              <w:rPr>
                <w:rFonts w:asciiTheme="minorHAnsi" w:hAnsiTheme="minorHAnsi" w:cstheme="minorHAnsi"/>
                <w:b w:val="0"/>
                <w:bCs/>
                <w:szCs w:val="20"/>
              </w:rPr>
              <w:t> через </w:t>
            </w:r>
            <w:hyperlink r:id="rId21" w:history="1">
              <w:r w:rsidRPr="003E3BFA">
                <w:rPr>
                  <w:rStyle w:val="a3"/>
                  <w:rFonts w:asciiTheme="minorHAnsi" w:hAnsiTheme="minorHAnsi" w:cstheme="minorHAnsi"/>
                  <w:b w:val="0"/>
                  <w:bCs/>
                  <w:szCs w:val="20"/>
                </w:rPr>
                <w:t>интернет-приемную</w:t>
              </w:r>
            </w:hyperlink>
          </w:p>
        </w:tc>
      </w:tr>
      <w:tr w:rsidR="003E32F8" w:rsidRPr="005A6507" w14:paraId="4C133B78" w14:textId="77777777" w:rsidTr="005A6507">
        <w:trPr>
          <w:trHeight w:val="29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46A1" w14:textId="77777777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6.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5D9E" w14:textId="77777777" w:rsidR="003E32F8" w:rsidRPr="005A6507" w:rsidRDefault="003E32F8" w:rsidP="003E32F8">
            <w:pPr>
              <w:spacing w:after="236" w:line="244" w:lineRule="auto"/>
              <w:ind w:left="2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Способы защиты прав получателя финансовых услуг, включая информацию о наличии возможности и способах досудебного или внесудебного урегулирования спора, в том числе о претензионном порядке урегулирования спора, процедуре медиации (при ее наличии). Указывается порядок и сроки досудебного урегулирования </w:t>
            </w:r>
          </w:p>
          <w:p w14:paraId="3EF222AE" w14:textId="77777777" w:rsidR="003E32F8" w:rsidRPr="005A6507" w:rsidRDefault="003E32F8" w:rsidP="003E32F8">
            <w:pPr>
              <w:spacing w:after="223" w:line="259" w:lineRule="auto"/>
              <w:ind w:left="2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</w:p>
          <w:p w14:paraId="6A295476" w14:textId="77777777" w:rsidR="003E32F8" w:rsidRPr="005A6507" w:rsidRDefault="003E32F8" w:rsidP="003E32F8">
            <w:pPr>
              <w:spacing w:after="225" w:line="259" w:lineRule="auto"/>
              <w:ind w:left="2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</w:p>
          <w:p w14:paraId="4E9A183F" w14:textId="77777777" w:rsidR="003E32F8" w:rsidRPr="005A6507" w:rsidRDefault="003E32F8" w:rsidP="003E32F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0F983" w14:textId="77777777" w:rsidR="003E32F8" w:rsidRPr="005A6507" w:rsidRDefault="003E32F8" w:rsidP="003E32F8">
            <w:pPr>
              <w:spacing w:after="271" w:line="259" w:lineRule="auto"/>
              <w:jc w:val="left"/>
              <w:rPr>
                <w:rFonts w:asciiTheme="minorHAnsi" w:hAnsiTheme="minorHAnsi" w:cstheme="minorHAnsi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color w:val="0D0D0D" w:themeColor="text1" w:themeTint="F2"/>
                <w:szCs w:val="20"/>
              </w:rPr>
              <w:t xml:space="preserve">Права получателей финансовых услуг установлены: </w:t>
            </w:r>
          </w:p>
          <w:p w14:paraId="2290DB27" w14:textId="77777777" w:rsidR="003E32F8" w:rsidRDefault="003E32F8" w:rsidP="003E32F8">
            <w:pPr>
              <w:numPr>
                <w:ilvl w:val="0"/>
                <w:numId w:val="2"/>
              </w:numPr>
              <w:spacing w:after="267" w:line="259" w:lineRule="auto"/>
              <w:ind w:left="176" w:hanging="142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Федеральным законом от 05.03.1999 № 46-ФЗ «О защите прав и законных интересов инвесторов на рынке ценных бумаг»; </w:t>
            </w:r>
          </w:p>
          <w:p w14:paraId="4F472578" w14:textId="2540597E" w:rsidR="00736E72" w:rsidRPr="00736E72" w:rsidRDefault="00736E72" w:rsidP="00736E72">
            <w:pPr>
              <w:numPr>
                <w:ilvl w:val="0"/>
                <w:numId w:val="2"/>
              </w:numPr>
              <w:spacing w:after="216" w:line="318" w:lineRule="auto"/>
              <w:ind w:left="176" w:hanging="142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Базовым стандартом защиты прав и интересов физических и юридических лиц-получателей финансовых услуг, оказываемых членами саморегулируемых организаций в сфере финансового рынка, объединяющих </w:t>
            </w:r>
            <w:r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депозитариев;</w:t>
            </w:r>
          </w:p>
          <w:p w14:paraId="218C9E66" w14:textId="77777777" w:rsidR="00736E72" w:rsidRDefault="003E32F8" w:rsidP="00736E72">
            <w:pPr>
              <w:numPr>
                <w:ilvl w:val="0"/>
                <w:numId w:val="2"/>
              </w:numPr>
              <w:spacing w:after="216" w:line="318" w:lineRule="auto"/>
              <w:ind w:left="176" w:hanging="142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Базовым стандартом защиты прав и интересов физических и юридических лиц-получателей финансовых услуг, оказываемых членами саморегулируемых организаций в сфере финансового рынка, объединяющих регистраторов.</w:t>
            </w:r>
          </w:p>
          <w:p w14:paraId="6CFB01BA" w14:textId="77777777" w:rsidR="00736E72" w:rsidRDefault="003E32F8" w:rsidP="00736E72">
            <w:pPr>
              <w:spacing w:after="216" w:line="318" w:lineRule="auto"/>
              <w:ind w:left="34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736E72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Получатель финансовой услуги вправе защищать свои права и законные интересы следующими способами: </w:t>
            </w:r>
          </w:p>
          <w:p w14:paraId="4A4E9839" w14:textId="77777777" w:rsidR="00736E72" w:rsidRDefault="003E32F8" w:rsidP="00736E72">
            <w:pPr>
              <w:numPr>
                <w:ilvl w:val="0"/>
                <w:numId w:val="2"/>
              </w:numPr>
              <w:spacing w:after="216" w:line="318" w:lineRule="auto"/>
              <w:ind w:left="176" w:hanging="142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736E72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обращаться с целью защиты своих прав и законных интересов в ООО «РБРУ СД» в СРО НАУФОР и в Банк России, обращаться в прокуратуру, и в другие государственные органы; </w:t>
            </w:r>
          </w:p>
          <w:p w14:paraId="0D4FEDA8" w14:textId="77777777" w:rsidR="00736E72" w:rsidRDefault="00736E72" w:rsidP="00736E72">
            <w:pPr>
              <w:numPr>
                <w:ilvl w:val="0"/>
                <w:numId w:val="2"/>
              </w:numPr>
              <w:spacing w:after="216" w:line="318" w:lineRule="auto"/>
              <w:ind w:left="176" w:hanging="142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736E72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реализовывать свои права получателя финансовых услуг в досудебном порядке разрешения споров, в </w:t>
            </w:r>
            <w:r w:rsidRPr="00736E72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lastRenderedPageBreak/>
              <w:t xml:space="preserve">том числе в претензионном порядке урегулирования споров; </w:t>
            </w:r>
          </w:p>
          <w:p w14:paraId="5574B71F" w14:textId="059A58DE" w:rsidR="003E32F8" w:rsidRPr="00736E72" w:rsidRDefault="003E32F8" w:rsidP="00736E72">
            <w:pPr>
              <w:numPr>
                <w:ilvl w:val="0"/>
                <w:numId w:val="2"/>
              </w:numPr>
              <w:spacing w:after="216" w:line="318" w:lineRule="auto"/>
              <w:ind w:left="176" w:hanging="142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736E72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обжаловать действия (бездействие) ООО «РБРУ СД» </w:t>
            </w:r>
          </w:p>
          <w:p w14:paraId="79A20244" w14:textId="77777777" w:rsidR="003E32F8" w:rsidRPr="005A6507" w:rsidRDefault="003E32F8" w:rsidP="003E32F8">
            <w:pPr>
              <w:spacing w:after="239" w:line="274" w:lineRule="auto"/>
              <w:ind w:left="176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в суде. </w:t>
            </w:r>
          </w:p>
          <w:p w14:paraId="573DDB05" w14:textId="77777777" w:rsidR="003E32F8" w:rsidRPr="005A6507" w:rsidRDefault="003E32F8" w:rsidP="003E32F8">
            <w:pPr>
              <w:spacing w:after="228" w:line="259" w:lineRule="auto"/>
              <w:jc w:val="left"/>
              <w:rPr>
                <w:rFonts w:asciiTheme="minorHAnsi" w:hAnsiTheme="minorHAnsi" w:cstheme="minorHAnsi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color w:val="0D0D0D" w:themeColor="text1" w:themeTint="F2"/>
                <w:szCs w:val="20"/>
              </w:rPr>
              <w:t xml:space="preserve">Порядок досудебного урегулирования спора: </w:t>
            </w:r>
          </w:p>
          <w:p w14:paraId="7B083371" w14:textId="77777777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Все споры и разногласия между ООО «РБРУ СД» </w:t>
            </w:r>
          </w:p>
          <w:p w14:paraId="04AA7416" w14:textId="4E5CF190" w:rsidR="003E32F8" w:rsidRPr="005A6507" w:rsidRDefault="003E32F8" w:rsidP="003E32F8">
            <w:pPr>
              <w:spacing w:line="255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и получателем финансовой </w:t>
            </w:r>
            <w:proofErr w:type="gramStart"/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услуги  по</w:t>
            </w:r>
            <w:proofErr w:type="gramEnd"/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поводу предоставления услуг на рынке ценных бумаг и совершения иных действий, решаются путем переговоров</w:t>
            </w:r>
            <w:r w:rsidRPr="005A6507">
              <w:rPr>
                <w:rFonts w:asciiTheme="minorHAnsi" w:eastAsia="Calibr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или путём направления получателем финансовых услуг претензии в связи с возникновением спора на финансовом рынке.   </w:t>
            </w:r>
          </w:p>
          <w:p w14:paraId="1A341130" w14:textId="77777777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</w:p>
          <w:p w14:paraId="5A8423D2" w14:textId="47AF1452" w:rsidR="003E32F8" w:rsidRPr="005A6507" w:rsidRDefault="003E32F8" w:rsidP="003E32F8">
            <w:pPr>
              <w:spacing w:after="239" w:line="238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При получении претензии от получателя финансовых услуг, </w:t>
            </w:r>
            <w:r w:rsidR="00736E72"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ООО «РБРУ СД» </w:t>
            </w: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рассматривает полученную претензию и уведомляет получателя финансовых услуг о результатах рассмотрения в письменной форме в течение </w:t>
            </w:r>
            <w:r w:rsidR="007D6D85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15 рабочих</w:t>
            </w: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(</w:t>
            </w:r>
            <w:r w:rsidR="007D6D85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пятнадцати</w:t>
            </w: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>) дней</w:t>
            </w:r>
            <w:r w:rsidR="007D6D85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с даты получения претензии,</w:t>
            </w: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 </w:t>
            </w:r>
            <w:r w:rsidR="007D6D85" w:rsidRPr="007D6D85">
              <w:rPr>
                <w:rFonts w:asciiTheme="minorHAnsi" w:hAnsiTheme="minorHAnsi" w:cstheme="minorHAnsi"/>
                <w:b w:val="0"/>
                <w:bCs/>
                <w:color w:val="0D0D0D" w:themeColor="text1" w:themeTint="F2"/>
                <w:szCs w:val="20"/>
              </w:rPr>
              <w:t xml:space="preserve">если иной срок ответа не установлен законом. В случае необходимости запроса дополнительных материалов срок рассмотрения </w:t>
            </w:r>
            <w:r w:rsidR="007D6D85">
              <w:rPr>
                <w:rFonts w:asciiTheme="minorHAnsi" w:hAnsiTheme="minorHAnsi" w:cstheme="minorHAnsi"/>
                <w:b w:val="0"/>
                <w:bCs/>
                <w:color w:val="0D0D0D" w:themeColor="text1" w:themeTint="F2"/>
                <w:szCs w:val="20"/>
              </w:rPr>
              <w:t xml:space="preserve">претензии </w:t>
            </w:r>
            <w:r w:rsidR="007D6D85" w:rsidRPr="007D6D85">
              <w:rPr>
                <w:rFonts w:asciiTheme="minorHAnsi" w:hAnsiTheme="minorHAnsi" w:cstheme="minorHAnsi"/>
                <w:b w:val="0"/>
                <w:bCs/>
                <w:color w:val="0D0D0D" w:themeColor="text1" w:themeTint="F2"/>
                <w:szCs w:val="20"/>
              </w:rPr>
              <w:t>продлевается не более чем на 10 рабочих дней, при этом Общество уведомляет Заявителя о продлении срока</w:t>
            </w:r>
            <w:r w:rsidR="007D6D85">
              <w:rPr>
                <w:rFonts w:asciiTheme="minorHAnsi" w:hAnsiTheme="minorHAnsi" w:cstheme="minorHAnsi"/>
                <w:b w:val="0"/>
                <w:bCs/>
                <w:color w:val="0D0D0D" w:themeColor="text1" w:themeTint="F2"/>
                <w:szCs w:val="20"/>
              </w:rPr>
              <w:t>.</w:t>
            </w:r>
          </w:p>
          <w:p w14:paraId="1A5F10C6" w14:textId="77777777" w:rsidR="003E32F8" w:rsidRPr="005A6507" w:rsidRDefault="003E32F8" w:rsidP="003E32F8">
            <w:pPr>
              <w:spacing w:line="259" w:lineRule="auto"/>
              <w:jc w:val="left"/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</w:pPr>
            <w:r w:rsidRPr="005A6507">
              <w:rPr>
                <w:rFonts w:asciiTheme="minorHAnsi" w:hAnsiTheme="minorHAnsi" w:cstheme="minorHAnsi"/>
                <w:b w:val="0"/>
                <w:color w:val="0D0D0D" w:themeColor="text1" w:themeTint="F2"/>
                <w:szCs w:val="20"/>
              </w:rPr>
              <w:t xml:space="preserve">При недостижении согласия между сторонами через переговоры предмет спора должен быть передан на рассмотрение в Арбитражный суд г. Москвы, для разрешения в соответствии с законодательством Российской Федерации. </w:t>
            </w:r>
          </w:p>
        </w:tc>
      </w:tr>
    </w:tbl>
    <w:p w14:paraId="18DD45A2" w14:textId="77777777" w:rsidR="000D16B0" w:rsidRPr="005A6507" w:rsidRDefault="000D16B0" w:rsidP="000D16B0">
      <w:pPr>
        <w:spacing w:line="259" w:lineRule="auto"/>
        <w:ind w:left="-1702" w:right="10511"/>
        <w:jc w:val="left"/>
        <w:rPr>
          <w:rFonts w:asciiTheme="minorHAnsi" w:hAnsiTheme="minorHAnsi" w:cstheme="minorHAnsi"/>
          <w:b w:val="0"/>
          <w:color w:val="0D0D0D" w:themeColor="text1" w:themeTint="F2"/>
          <w:szCs w:val="20"/>
        </w:rPr>
      </w:pPr>
    </w:p>
    <w:p w14:paraId="7BC525EC" w14:textId="77777777" w:rsidR="006E7EBA" w:rsidRPr="005A6507" w:rsidRDefault="006E7EBA">
      <w:pPr>
        <w:rPr>
          <w:rFonts w:asciiTheme="minorHAnsi" w:hAnsiTheme="minorHAnsi" w:cstheme="minorHAnsi"/>
          <w:szCs w:val="20"/>
        </w:rPr>
      </w:pPr>
    </w:p>
    <w:sectPr w:rsidR="006E7EBA" w:rsidRPr="005A6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83CD5" w14:textId="77777777" w:rsidR="003E32F8" w:rsidRDefault="003E32F8" w:rsidP="003E32F8">
      <w:pPr>
        <w:spacing w:line="240" w:lineRule="auto"/>
      </w:pPr>
      <w:r>
        <w:separator/>
      </w:r>
    </w:p>
  </w:endnote>
  <w:endnote w:type="continuationSeparator" w:id="0">
    <w:p w14:paraId="0F742787" w14:textId="77777777" w:rsidR="003E32F8" w:rsidRDefault="003E32F8" w:rsidP="003E32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84D17" w14:textId="77777777" w:rsidR="003E32F8" w:rsidRDefault="003E32F8" w:rsidP="003E32F8">
      <w:pPr>
        <w:spacing w:line="240" w:lineRule="auto"/>
      </w:pPr>
      <w:r>
        <w:separator/>
      </w:r>
    </w:p>
  </w:footnote>
  <w:footnote w:type="continuationSeparator" w:id="0">
    <w:p w14:paraId="07926C2A" w14:textId="77777777" w:rsidR="003E32F8" w:rsidRDefault="003E32F8" w:rsidP="003E32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1D2B"/>
    <w:multiLevelType w:val="hybridMultilevel"/>
    <w:tmpl w:val="07D83E1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F720EC1"/>
    <w:multiLevelType w:val="hybridMultilevel"/>
    <w:tmpl w:val="76287EF0"/>
    <w:lvl w:ilvl="0" w:tplc="53843FEA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22292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A89470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92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74FD58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92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9FE7D2C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22292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14DA70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92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4AE526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92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C24584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22292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30CAF2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92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14ED74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92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8828B5"/>
    <w:multiLevelType w:val="hybridMultilevel"/>
    <w:tmpl w:val="CBCA916C"/>
    <w:lvl w:ilvl="0" w:tplc="53843FE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22292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902300">
    <w:abstractNumId w:val="0"/>
  </w:num>
  <w:num w:numId="2" w16cid:durableId="1614366917">
    <w:abstractNumId w:val="1"/>
  </w:num>
  <w:num w:numId="3" w16cid:durableId="883710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B0"/>
    <w:rsid w:val="000D16B0"/>
    <w:rsid w:val="001F4436"/>
    <w:rsid w:val="002C1879"/>
    <w:rsid w:val="003E32F8"/>
    <w:rsid w:val="003E3BFA"/>
    <w:rsid w:val="005A6507"/>
    <w:rsid w:val="005B4AF7"/>
    <w:rsid w:val="006E7EBA"/>
    <w:rsid w:val="00736E72"/>
    <w:rsid w:val="007D6D85"/>
    <w:rsid w:val="007E7BC8"/>
    <w:rsid w:val="0080653C"/>
    <w:rsid w:val="00E74074"/>
    <w:rsid w:val="00EA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901EF4"/>
  <w15:chartTrackingRefBased/>
  <w15:docId w15:val="{C3E8B079-CC34-4980-960D-480EF637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6B0"/>
    <w:pPr>
      <w:spacing w:after="0" w:line="268" w:lineRule="auto"/>
      <w:jc w:val="center"/>
    </w:pPr>
    <w:rPr>
      <w:rFonts w:ascii="Arial" w:eastAsia="Arial" w:hAnsi="Arial" w:cs="Arial"/>
      <w:b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D16B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0D16B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D16B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E32F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32F8"/>
    <w:rPr>
      <w:rFonts w:ascii="Arial" w:eastAsia="Arial" w:hAnsi="Arial" w:cs="Arial"/>
      <w:b/>
      <w:color w:val="000000"/>
      <w:sz w:val="20"/>
      <w:lang w:eastAsia="ru-RU"/>
    </w:rPr>
  </w:style>
  <w:style w:type="paragraph" w:styleId="a7">
    <w:name w:val="footer"/>
    <w:basedOn w:val="a"/>
    <w:link w:val="a8"/>
    <w:uiPriority w:val="99"/>
    <w:unhideWhenUsed/>
    <w:rsid w:val="003E32F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32F8"/>
    <w:rPr>
      <w:rFonts w:ascii="Arial" w:eastAsia="Arial" w:hAnsi="Arial" w:cs="Arial"/>
      <w:b/>
      <w:color w:val="000000"/>
      <w:sz w:val="20"/>
      <w:lang w:eastAsia="ru-RU"/>
    </w:rPr>
  </w:style>
  <w:style w:type="character" w:styleId="a9">
    <w:name w:val="Unresolved Mention"/>
    <w:basedOn w:val="a0"/>
    <w:uiPriority w:val="99"/>
    <w:semiHidden/>
    <w:unhideWhenUsed/>
    <w:rsid w:val="007E7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for.ru/" TargetMode="External"/><Relationship Id="rId13" Type="http://schemas.openxmlformats.org/officeDocument/2006/relationships/hyperlink" Target="https://naufor.ru/tree.asp?n=31245" TargetMode="External"/><Relationship Id="rId18" Type="http://schemas.openxmlformats.org/officeDocument/2006/relationships/hyperlink" Target="mailto:info.specdep@raiffeisen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br.ru/Reception/" TargetMode="External"/><Relationship Id="rId7" Type="http://schemas.openxmlformats.org/officeDocument/2006/relationships/hyperlink" Target="https://naufor.ru/" TargetMode="External"/><Relationship Id="rId12" Type="http://schemas.openxmlformats.org/officeDocument/2006/relationships/hyperlink" Target="https://naufor.ru/tree.asp?n=31012" TargetMode="External"/><Relationship Id="rId17" Type="http://schemas.openxmlformats.org/officeDocument/2006/relationships/hyperlink" Target="https://cbr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br.ru/" TargetMode="External"/><Relationship Id="rId20" Type="http://schemas.openxmlformats.org/officeDocument/2006/relationships/hyperlink" Target="http://www.cbr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bru-depositor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bru-depository.ru/document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aufor.ru/tree.asp?n=31012" TargetMode="External"/><Relationship Id="rId19" Type="http://schemas.openxmlformats.org/officeDocument/2006/relationships/hyperlink" Target="https://naufor.ru/tree.asp?n=43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ufor.ru/tree.asp?n=31245" TargetMode="External"/><Relationship Id="rId14" Type="http://schemas.openxmlformats.org/officeDocument/2006/relationships/hyperlink" Target="https://rbru-depository.ru/document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1350</Words>
  <Characters>7699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AO Raiffeisenbank</Company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DOLGOPOLOVA Irina</dc:creator>
  <cp:keywords/>
  <dc:description/>
  <cp:lastModifiedBy>DOLGOPOLOVA Irina</cp:lastModifiedBy>
  <cp:revision>2</cp:revision>
  <dcterms:created xsi:type="dcterms:W3CDTF">2026-04-27T08:50:00Z</dcterms:created>
  <dcterms:modified xsi:type="dcterms:W3CDTF">2026-04-27T08:50:00Z</dcterms:modified>
</cp:coreProperties>
</file>