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b/>
          <w:bCs/>
          <w:color w:val="212121"/>
          <w:sz w:val="23"/>
          <w:szCs w:val="23"/>
          <w:bdr w:val="none" w:sz="0" w:space="0" w:color="auto" w:frame="1"/>
          <w:lang w:eastAsia="ru-RU"/>
        </w:rPr>
        <w:t>Особенности осуществления финансовых операций с лицами, на которых распространяется законодательство США о налогообложении иностранных счетов</w:t>
      </w:r>
      <w:r w:rsidRPr="00F067C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  </w:t>
      </w:r>
      <w:r w:rsidRPr="00F067CD">
        <w:rPr>
          <w:rFonts w:ascii="inherit" w:eastAsia="Times New Roman" w:hAnsi="inherit" w:cs="Arial"/>
          <w:color w:val="212121"/>
          <w:sz w:val="20"/>
          <w:szCs w:val="20"/>
          <w:bdr w:val="none" w:sz="0" w:space="0" w:color="auto" w:frame="1"/>
          <w:lang w:eastAsia="ru-RU"/>
        </w:rPr>
        <w:t> </w:t>
      </w:r>
    </w:p>
    <w:p w:rsidR="00F067CD" w:rsidRPr="00F067CD" w:rsidRDefault="00F067CD" w:rsidP="00F067CD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067CD"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</w:t>
      </w:r>
    </w:p>
    <w:p w:rsidR="00F067CD" w:rsidRPr="00F067CD" w:rsidRDefault="00F067CD" w:rsidP="00F067CD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067CD">
        <w:rPr>
          <w:rFonts w:ascii="inherit" w:eastAsia="Times New Roman" w:hAnsi="inherit" w:cs="Arial"/>
          <w:b/>
          <w:bCs/>
          <w:color w:val="212121"/>
          <w:bdr w:val="none" w:sz="0" w:space="0" w:color="auto" w:frame="1"/>
          <w:shd w:val="clear" w:color="auto" w:fill="FFFFFF"/>
          <w:lang w:eastAsia="ru-RU"/>
        </w:rPr>
        <w:t>FATCA </w:t>
      </w: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Foreign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Account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Tax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Compliance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Act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) - закон США о налогообложении иностранных счетов, главная цель которого препятствовать уклонению от уплаты налогов американских налогоплательщиков (налоговых резидентов США, проживающих и/или осуществляющих экономическую деятельность на территории других государств. На территории Российской Федерации регулируется Федеральным законом от 28.06.2014г. № 173-ФЗ 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Закон).</w:t>
      </w:r>
    </w:p>
    <w:p w:rsidR="00F067CD" w:rsidRPr="00F067CD" w:rsidRDefault="00F067CD" w:rsidP="00F067CD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Во исполнение требований Закона ООО «</w:t>
      </w:r>
      <w:r w:rsidR="00467C18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РБРУ СД</w:t>
      </w: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 xml:space="preserve">» (далее – </w:t>
      </w:r>
      <w:r w:rsidR="00467C18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СД</w:t>
      </w: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 xml:space="preserve">) принимает обоснованные и доступные в сложившихся обстоятельствах меры по выявлению среди лиц, заключающих (заключивших) с </w:t>
      </w:r>
      <w:r w:rsidR="00467C18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>СД</w:t>
      </w: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shd w:val="clear" w:color="auto" w:fill="FFFFFF"/>
          <w:lang w:eastAsia="ru-RU"/>
        </w:rPr>
        <w:t xml:space="preserve"> договор, предусматривающий оказание финансовых услуг, лиц, на которых распространяется законодательство иностранного государства о налогообложении иностранных счетов (далее – Клиент-иностранный налогоплательщик).</w:t>
      </w:r>
    </w:p>
    <w:p w:rsidR="00F067CD" w:rsidRPr="00467C18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            </w:t>
      </w:r>
      <w:r w:rsidRPr="00467C18">
        <w:rPr>
          <w:rFonts w:ascii="inherit" w:eastAsia="Times New Roman" w:hAnsi="inherit" w:cs="Arial"/>
          <w:b/>
          <w:color w:val="212121"/>
          <w:bdr w:val="none" w:sz="0" w:space="0" w:color="auto" w:frame="1"/>
          <w:lang w:eastAsia="ru-RU"/>
        </w:rPr>
        <w:t>В целях Закона следующие лица не относятся к категории Клиента-иностранного налогоплательщика: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1. Физические лица-граждане РФ, за исключением физических лиц: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а) имеющих одновременно с гражданством РФ гражданство иностранного государства (кроме гражданства государства-члена Таможенного союза</w:t>
      </w:r>
      <w:hyperlink r:id="rId5" w:anchor="_ftn1" w:history="1">
        <w:r w:rsidRPr="00F067CD">
          <w:rPr>
            <w:rFonts w:ascii="inherit" w:eastAsia="Times New Roman" w:hAnsi="inherit" w:cs="Arial"/>
            <w:color w:val="212121"/>
            <w:u w:val="single"/>
            <w:bdr w:val="none" w:sz="0" w:space="0" w:color="auto" w:frame="1"/>
            <w:lang w:eastAsia="ru-RU"/>
          </w:rPr>
          <w:t>[1]</w:t>
        </w:r>
      </w:hyperlink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);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б) имеющих вид на жительство в иностранном государстве.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2. Юридические лица, созданные в соответствии с законодательством РФ, более 90% акций (долей) уставного капитала которых прямо/косвенно контролируются Российской Федерацией и (или) гражданами РФ, в том числе имеющими одновременно с гражданством РФ гражданство государства-члена Таможенного союза (за исключением физических лиц, указанных в подпунктах «а» и «б» пункта 1.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1. </w:t>
      </w:r>
      <w:r w:rsidRPr="00467C18">
        <w:rPr>
          <w:rFonts w:ascii="inherit" w:eastAsia="Times New Roman" w:hAnsi="inherit" w:cs="Arial"/>
          <w:b/>
          <w:color w:val="212121"/>
          <w:bdr w:val="none" w:sz="0" w:space="0" w:color="auto" w:frame="1"/>
          <w:lang w:eastAsia="ru-RU"/>
        </w:rPr>
        <w:t>Критерии отнесения Клиентов к категории Клиента-иностранного налогоплательщика в целях законодательства США о налогообложении иностранных счетов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1.1. В соответствии с требованиями законодательства США о налогообложении иностранных счетов (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Foreign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Account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Tax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Compliance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Act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) (далее – FATCA), критериями отнесения Клиента-физического лица</w:t>
      </w:r>
      <w:hyperlink r:id="rId6" w:anchor="_ftn2" w:history="1">
        <w:r w:rsidRPr="00F067CD">
          <w:rPr>
            <w:rFonts w:ascii="inherit" w:eastAsia="Times New Roman" w:hAnsi="inherit" w:cs="Arial"/>
            <w:color w:val="212121"/>
            <w:u w:val="single"/>
            <w:bdr w:val="none" w:sz="0" w:space="0" w:color="auto" w:frame="1"/>
            <w:lang w:eastAsia="ru-RU"/>
          </w:rPr>
          <w:t>[2]</w:t>
        </w:r>
      </w:hyperlink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 к категории Клиента-налогоплательщика США являются:</w:t>
      </w:r>
    </w:p>
    <w:p w:rsidR="00F067CD" w:rsidRPr="00F067CD" w:rsidRDefault="00F067CD" w:rsidP="00F067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физическое лицо является гражданином США</w:t>
      </w:r>
      <w:hyperlink r:id="rId7" w:anchor="_ftn3" w:history="1">
        <w:r w:rsidRPr="00F067CD">
          <w:rPr>
            <w:rFonts w:ascii="inherit" w:eastAsia="Times New Roman" w:hAnsi="inherit" w:cs="Arial"/>
            <w:color w:val="212121"/>
            <w:u w:val="single"/>
            <w:bdr w:val="none" w:sz="0" w:space="0" w:color="auto" w:frame="1"/>
            <w:lang w:eastAsia="ru-RU"/>
          </w:rPr>
          <w:t>[3]</w:t>
        </w:r>
      </w:hyperlink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;</w:t>
      </w:r>
    </w:p>
    <w:p w:rsidR="00F067CD" w:rsidRPr="00F067CD" w:rsidRDefault="00F067CD" w:rsidP="00F067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физическое лицо имеет разрешение на постоянное пребывание в США (карточка постоянного жителя (форма I-551 (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Green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Card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));</w:t>
      </w:r>
    </w:p>
    <w:p w:rsidR="00F067CD" w:rsidRPr="00F067CD" w:rsidRDefault="00F067CD" w:rsidP="00F067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физическое лицо соответствует критериям «Долгосрочного пребывания»: физическое лицо признается налогоплательщиком США, если физическое лицо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года,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F067CD" w:rsidRPr="00F067CD" w:rsidRDefault="00F067CD" w:rsidP="00F067C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коэффициент для текущего года равен 1 (т.е. учитываются все дни, проведенные в США в текущем году);</w:t>
      </w:r>
    </w:p>
    <w:p w:rsidR="00F067CD" w:rsidRPr="00F067CD" w:rsidRDefault="00F067CD" w:rsidP="00F067C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коэффициент предшествующего года равен – 1/3 и</w:t>
      </w:r>
    </w:p>
    <w:p w:rsidR="00F067CD" w:rsidRPr="00F067CD" w:rsidRDefault="00F067CD" w:rsidP="00F067C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коэффициент позапрошлого года – 1/6.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i/>
          <w:iCs/>
          <w:color w:val="212121"/>
          <w:bdr w:val="none" w:sz="0" w:space="0" w:color="auto" w:frame="1"/>
          <w:lang w:eastAsia="ru-RU"/>
        </w:rPr>
        <w:t>Пример: Вы провели на территории США в 2013 г. 130 дней, в 2012 г. – 120 дней, в 2011 г. – 120 дней. Таким образом, подсчет будет произведен следующим образом: (130 + 120*1/3 + 120*1/</w:t>
      </w:r>
      <w:proofErr w:type="gramStart"/>
      <w:r w:rsidRPr="00F067CD">
        <w:rPr>
          <w:rFonts w:ascii="inherit" w:eastAsia="Times New Roman" w:hAnsi="inherit" w:cs="Arial"/>
          <w:i/>
          <w:iCs/>
          <w:color w:val="212121"/>
          <w:bdr w:val="none" w:sz="0" w:space="0" w:color="auto" w:frame="1"/>
          <w:lang w:eastAsia="ru-RU"/>
        </w:rPr>
        <w:t>6)=</w:t>
      </w:r>
      <w:proofErr w:type="gramEnd"/>
      <w:r w:rsidRPr="00F067CD">
        <w:rPr>
          <w:rFonts w:ascii="inherit" w:eastAsia="Times New Roman" w:hAnsi="inherit" w:cs="Arial"/>
          <w:i/>
          <w:iCs/>
          <w:color w:val="212121"/>
          <w:bdr w:val="none" w:sz="0" w:space="0" w:color="auto" w:frame="1"/>
          <w:lang w:eastAsia="ru-RU"/>
        </w:rPr>
        <w:t>190. Поскольку общее количество дней превышает в сумме 183, и в текущем году Вы провели более в США 31 дня, то в 2013 г. Вы будете признаны налогоплательщиком США. Внимание! Налогоплательщиками США не признаются учителя, студенты, стажеры, временно присутствующие на территории США на основании виз F, J, M или Q (если не выполняется условие Долгосрочного пребывания).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1.2. В соответствии с требованиями FATCA, критериями отнесения Клиента-юридического лица к категории Клиента-налогоплательщика США являются:</w:t>
      </w:r>
    </w:p>
    <w:p w:rsidR="00F067CD" w:rsidRPr="00F067CD" w:rsidRDefault="00F067CD" w:rsidP="00F067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Страной регистрации/учреждения юридического лица являются США, при этом юридическое лицо не относится ни к одной из указанных ниже категорий юридических лиц, исключенных из </w:t>
      </w: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lastRenderedPageBreak/>
        <w:t>состава специально указанных налогоплательщиков США:</w:t>
      </w:r>
      <w:r w:rsidRPr="00F067CD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Американская корпорация, акции, которых регулярно котируются на одной или более организованной бирже ценных бумаг;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Американская компания или корпорация, которая входит в расширенную аффилированную группу компании и/или корпорации, указанной в предыдущем пункте;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 Американская организация, освобожденная от налогообложения согласно секции 501 (а), а также пенсионные фонды, определение которых установлено секцией 7701(а</w:t>
      </w:r>
      <w:proofErr w:type="gram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)(</w:t>
      </w:r>
      <w:proofErr w:type="gram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37) НК США;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Государственное учреждение или агентство США и его дочерние организации;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Любой штат США, Округ Колумбия, подконтрольные США территории (Американское Самоа, Территория Гуам, Северные Марианские о-ва,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Пуэрто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Рико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, Американские Виргинские о-ва), их любое политическое отделение или любое агентство, или другое образование, которое ими создано или полностью им принадлежит;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Американский инвестиционный фонд недвижимости, определенный в соответствии с секцией 856 Налогового Кодекса США;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Американский инвестиционный фонд (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common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trust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fund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) в соответствии с определением, содержащимся в секции 584 Налогового Кодекса США;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Американский траст, освобожденный от налогообложения согласно секции 664 (с) (положения данной секции касаются трастов, созданных для благотворительных целей);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Американский дилер ценных бумаг, товарами биржевой торговли или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деривативами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(включая такие инструменты, как фьючерсы, форварды и опционы), который зарегистрирован в качестве дилера в соответствии с требованиями законодательства США;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Американские брокеры (которые имеют соответствующую лицензию);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Американский траст, освобожденный от налогообложения согласно секции 403(b) Налогового Кодекса США (трасты, созданные для сотрудников организации, удовлетворяющие определенным критериям) и секции 457 (g) (трасты, созданные для выплаты компенсаций сотрудникам государственных организаций США).</w:t>
      </w:r>
    </w:p>
    <w:p w:rsidR="00F067CD" w:rsidRPr="00F067CD" w:rsidRDefault="00F067CD" w:rsidP="00F067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В состав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бенефициарных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владельцев</w:t>
      </w:r>
      <w:hyperlink r:id="rId8" w:anchor="_ftn4" w:history="1">
        <w:r w:rsidRPr="00F067CD">
          <w:rPr>
            <w:rFonts w:ascii="inherit" w:eastAsia="Times New Roman" w:hAnsi="inherit" w:cs="Arial"/>
            <w:color w:val="212121"/>
            <w:u w:val="single"/>
            <w:bdr w:val="none" w:sz="0" w:space="0" w:color="auto" w:frame="1"/>
            <w:lang w:eastAsia="ru-RU"/>
          </w:rPr>
          <w:t>[4]</w:t>
        </w:r>
      </w:hyperlink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 юридического лица-пассивной нефинансовой организации</w:t>
      </w:r>
      <w:hyperlink r:id="rId9" w:anchor="_ftn5" w:history="1">
        <w:r w:rsidRPr="00F067CD">
          <w:rPr>
            <w:rFonts w:ascii="inherit" w:eastAsia="Times New Roman" w:hAnsi="inherit" w:cs="Arial"/>
            <w:color w:val="212121"/>
            <w:u w:val="single"/>
            <w:bdr w:val="none" w:sz="0" w:space="0" w:color="auto" w:frame="1"/>
            <w:lang w:eastAsia="ru-RU"/>
          </w:rPr>
          <w:t>[5]</w:t>
        </w:r>
      </w:hyperlink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, входят: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физические лица, которые являются налогоплательщиками США в соответствии с критериями, изложенными в пункте 1.1. настоящего документа;</w:t>
      </w:r>
    </w:p>
    <w:p w:rsidR="00F067CD" w:rsidRPr="00F067CD" w:rsidRDefault="00F067CD" w:rsidP="00F067C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юридические лица, зарегистрированные/учрежденные на территории США, не относящиеся к категории юридических лиц, исключенных из состава специально указанных налогоплательщиков США.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 2. Способы получения от Клиентов необходимой информации в целях FATCA</w:t>
      </w:r>
    </w:p>
    <w:p w:rsidR="00F067CD" w:rsidRPr="00F067CD" w:rsidRDefault="00467C18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Начиная с 19.01.2023</w:t>
      </w:r>
      <w:r w:rsidR="00F067CD"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г., в целях выявления Клиентов-налогоплательщиков США, </w:t>
      </w:r>
      <w:r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СД</w:t>
      </w:r>
      <w:r w:rsidR="00F067CD"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проводит анкетирование Клиентов, находящихся на обслуживании в </w:t>
      </w:r>
      <w:r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СД</w:t>
      </w:r>
      <w:r w:rsidR="00F067CD"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, либо принимаемых на обслуживание в </w:t>
      </w:r>
      <w:r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СД</w:t>
      </w:r>
      <w:r w:rsidR="00F067CD"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, у которых обнаружены признаки связи с США, свидетельствующие о том, что Клиент может относиться к налогоплательщикам США.</w:t>
      </w:r>
    </w:p>
    <w:p w:rsidR="00F067CD" w:rsidRPr="00467C18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12121"/>
          <w:sz w:val="23"/>
          <w:szCs w:val="23"/>
          <w:lang w:eastAsia="ru-RU"/>
        </w:rPr>
      </w:pPr>
      <w:r w:rsidRPr="00467C18">
        <w:rPr>
          <w:rFonts w:ascii="inherit" w:eastAsia="Times New Roman" w:hAnsi="inherit" w:cs="Arial"/>
          <w:b/>
          <w:color w:val="212121"/>
          <w:bdr w:val="none" w:sz="0" w:space="0" w:color="auto" w:frame="1"/>
          <w:lang w:eastAsia="ru-RU"/>
        </w:rPr>
        <w:t>2.1. К признакам связи с США физических лиц относятся:</w:t>
      </w:r>
    </w:p>
    <w:p w:rsidR="00F067CD" w:rsidRPr="00F067CD" w:rsidRDefault="00F067CD" w:rsidP="00F067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Гражданство США;</w:t>
      </w:r>
    </w:p>
    <w:p w:rsidR="00F067CD" w:rsidRPr="00F067CD" w:rsidRDefault="00F067CD" w:rsidP="00F067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Адрес регистрации/проживания/почтовый адрес – США;</w:t>
      </w:r>
    </w:p>
    <w:p w:rsidR="00F067CD" w:rsidRPr="00F067CD" w:rsidRDefault="00F067CD" w:rsidP="00F067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Постоянно действующая инструкция по перечислению денежных средств на счет, открытый в США;</w:t>
      </w:r>
    </w:p>
    <w:p w:rsidR="00F067CD" w:rsidRPr="00F067CD" w:rsidRDefault="00F067CD" w:rsidP="00F067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Место рождения в США;</w:t>
      </w:r>
    </w:p>
    <w:p w:rsidR="00F067CD" w:rsidRPr="00F067CD" w:rsidRDefault="00F067CD" w:rsidP="00F067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Доверенность, выданная лицу, зарегистрированному/проживающему в США;</w:t>
      </w:r>
    </w:p>
    <w:p w:rsidR="00F067CD" w:rsidRPr="00F067CD" w:rsidRDefault="00F067CD" w:rsidP="00F067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Номер телефона (факса) включает в себя международный телефонный код США;</w:t>
      </w:r>
    </w:p>
    <w:p w:rsidR="00F067CD" w:rsidRPr="00F067CD" w:rsidRDefault="00F067CD" w:rsidP="00F067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Адрес «до востребования» – США.</w:t>
      </w:r>
    </w:p>
    <w:p w:rsidR="00F067CD" w:rsidRPr="00467C18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12121"/>
          <w:sz w:val="23"/>
          <w:szCs w:val="23"/>
          <w:lang w:eastAsia="ru-RU"/>
        </w:rPr>
      </w:pPr>
      <w:r w:rsidRPr="00467C18">
        <w:rPr>
          <w:rFonts w:ascii="inherit" w:eastAsia="Times New Roman" w:hAnsi="inherit" w:cs="Arial"/>
          <w:b/>
          <w:color w:val="212121"/>
          <w:bdr w:val="none" w:sz="0" w:space="0" w:color="auto" w:frame="1"/>
          <w:lang w:eastAsia="ru-RU"/>
        </w:rPr>
        <w:t>2.2. К признакам связи с США юридических лиц относятся:</w:t>
      </w:r>
    </w:p>
    <w:p w:rsidR="00F067CD" w:rsidRPr="00F067CD" w:rsidRDefault="00F067CD" w:rsidP="00F067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Страна регистрации или налогового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резидентства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– США;</w:t>
      </w:r>
    </w:p>
    <w:p w:rsidR="00F067CD" w:rsidRPr="00F067CD" w:rsidRDefault="00F067CD" w:rsidP="00F067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lastRenderedPageBreak/>
        <w:t>Адрес местонахождения организации или почтовый адрес – США;</w:t>
      </w:r>
    </w:p>
    <w:p w:rsidR="00F067CD" w:rsidRPr="00F067CD" w:rsidRDefault="00F067CD" w:rsidP="00F067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Наличие налогоплательщиков США среди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бенефициарных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владельцев юридического лица, являющегося пассивной нефинансовой организацией;</w:t>
      </w:r>
    </w:p>
    <w:p w:rsidR="00F067CD" w:rsidRPr="00F067CD" w:rsidRDefault="00F067CD" w:rsidP="00F067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Компания является финансовым институтом</w:t>
      </w:r>
      <w:hyperlink r:id="rId10" w:anchor="_ftn6" w:history="1">
        <w:r w:rsidRPr="00F067CD">
          <w:rPr>
            <w:rFonts w:ascii="inherit" w:eastAsia="Times New Roman" w:hAnsi="inherit" w:cs="Arial"/>
            <w:color w:val="212121"/>
            <w:u w:val="single"/>
            <w:bdr w:val="none" w:sz="0" w:space="0" w:color="auto" w:frame="1"/>
            <w:lang w:eastAsia="ru-RU"/>
          </w:rPr>
          <w:t>[6]</w:t>
        </w:r>
      </w:hyperlink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2.3. В целях подтверждения или опровержения предположения о том, что Клиент относится к налогоплательщикам США, </w:t>
      </w:r>
      <w:r w:rsidR="00467C18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СД</w:t>
      </w: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направляет Клиенту Запрос с приложением налоговых форм, разработанных налоговой службой США (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Internal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</w:t>
      </w:r>
      <w:proofErr w:type="spellStart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Revenue</w:t>
      </w:r>
      <w:proofErr w:type="spellEnd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Service – IRS) (далее – Налоговая служба США), а также иных форм, разработанных </w:t>
      </w:r>
      <w:r w:rsidR="00467C18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СД</w:t>
      </w: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, включая форму согласия на передачу персональных данных в Налоговую службу США.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i/>
          <w:iCs/>
          <w:color w:val="212121"/>
          <w:bdr w:val="none" w:sz="0" w:space="0" w:color="auto" w:frame="1"/>
          <w:lang w:eastAsia="ru-RU"/>
        </w:rPr>
        <w:t>Внимание! Согласие на передачу персональных данных в Налоговую службу США подлежит заполнению только в том случае, если Клиент является налогоплательщиком США.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2.4. Срок для предоставления Клиентом заполненных и подписанных налоговых форм, а также согласия на передачу персональных данных в Налоговую службу США (если применимо) составляет 15 (Пятнадцать) рабочих дней со дня направления </w:t>
      </w:r>
      <w:r w:rsidR="00467C18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СД</w:t>
      </w: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Клиенту соответствующего Запроса.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2.5. Согласие на передачу персональных данных в Налоговую службу США является одновременно согласием на передачу такой информации в Федеральную налоговую службу, Федеральную службу по финансовому мониторингу и Центральный Банк Российской Федерации.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2.6. В случае если Клиент не предоставил в течение 15 (Пятнадцати) рабочих дней со дня направления </w:t>
      </w:r>
      <w:r w:rsidR="00467C18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СД</w:t>
      </w: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соответствующего запроса корректно оформленные документы, подтверждающие либо опровергающие его статус налогоплательщика США, и/или согласия на передачу персональных данных в Налоговую службу США (в случае принадлежности Клиента к налогоплательщикам США) </w:t>
      </w:r>
      <w:r w:rsidR="00467C18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СД</w:t>
      </w:r>
      <w:bookmarkStart w:id="0" w:name="_GoBack"/>
      <w:bookmarkEnd w:id="0"/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 xml:space="preserve"> вправе: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отказать Клиенту в заключении договора, предусматривающего оказание финансовых услуг;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отказать в совершении операций, осуществляемых в пользу или по поручению такого Клиента по договору, предусматривающему оказание финансовых услуг;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bdr w:val="none" w:sz="0" w:space="0" w:color="auto" w:frame="1"/>
          <w:lang w:eastAsia="ru-RU"/>
        </w:rPr>
        <w:t>расторгнуть в одностороннем порядке договор, предусматривающий оказание финансовых услуг, уведомив Клиента о принятом решении не позднее дня, следующего за днем принятия решения.</w:t>
      </w:r>
    </w:p>
    <w:p w:rsidR="00F067CD" w:rsidRPr="00F067CD" w:rsidRDefault="00F067CD" w:rsidP="00F0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CD" w:rsidRPr="00F067CD" w:rsidRDefault="00467C18" w:rsidP="00F0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#212121" stroked="f"/>
        </w:pict>
      </w:r>
    </w:p>
    <w:p w:rsidR="00F067CD" w:rsidRPr="00F067CD" w:rsidRDefault="00467C18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hyperlink r:id="rId11" w:anchor="_ftnref1" w:history="1">
        <w:r w:rsidR="00F067CD" w:rsidRPr="00F067CD">
          <w:rPr>
            <w:rFonts w:ascii="inherit" w:eastAsia="Times New Roman" w:hAnsi="inherit" w:cs="Arial"/>
            <w:color w:val="212121"/>
            <w:sz w:val="14"/>
            <w:szCs w:val="14"/>
            <w:u w:val="single"/>
            <w:bdr w:val="none" w:sz="0" w:space="0" w:color="auto" w:frame="1"/>
            <w:lang w:eastAsia="ru-RU"/>
          </w:rPr>
          <w:t>[1]</w:t>
        </w:r>
      </w:hyperlink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 Информация о членах Таможенного Союза размещена на сайте </w:t>
      </w:r>
      <w:hyperlink r:id="rId12" w:history="1">
        <w:r w:rsidR="00F067CD" w:rsidRPr="00F067CD">
          <w:rPr>
            <w:rFonts w:ascii="inherit" w:eastAsia="Times New Roman" w:hAnsi="inherit" w:cs="Arial"/>
            <w:color w:val="212121"/>
            <w:sz w:val="14"/>
            <w:szCs w:val="14"/>
            <w:u w:val="single"/>
            <w:bdr w:val="none" w:sz="0" w:space="0" w:color="auto" w:frame="1"/>
            <w:lang w:eastAsia="ru-RU"/>
          </w:rPr>
          <w:t>http://www.eurasiancommission.org/ru</w:t>
        </w:r>
      </w:hyperlink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.</w:t>
      </w:r>
    </w:p>
    <w:p w:rsidR="00F067CD" w:rsidRPr="00F067CD" w:rsidRDefault="00F067CD" w:rsidP="00F0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D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</w:r>
    </w:p>
    <w:p w:rsidR="00F067CD" w:rsidRPr="00F067CD" w:rsidRDefault="00467C18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hyperlink r:id="rId13" w:anchor="_ftnref2" w:history="1">
        <w:r w:rsidR="00F067CD" w:rsidRPr="00F067CD">
          <w:rPr>
            <w:rFonts w:ascii="inherit" w:eastAsia="Times New Roman" w:hAnsi="inherit" w:cs="Arial"/>
            <w:color w:val="212121"/>
            <w:sz w:val="14"/>
            <w:szCs w:val="14"/>
            <w:u w:val="single"/>
            <w:bdr w:val="none" w:sz="0" w:space="0" w:color="auto" w:frame="1"/>
            <w:lang w:eastAsia="ru-RU"/>
          </w:rPr>
          <w:t>[2]</w:t>
        </w:r>
      </w:hyperlink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 В целях FATCA к Клиентам, являющимся индивидуальными предпринимателями, применяются положения, которые относятся к Клиентам-физическим лицам, если иное прямо не вытекает из требований FATCA.</w:t>
      </w:r>
    </w:p>
    <w:p w:rsidR="00F067CD" w:rsidRPr="00F067CD" w:rsidRDefault="00F067CD" w:rsidP="00F0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D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</w:r>
    </w:p>
    <w:p w:rsidR="00F067CD" w:rsidRPr="00F067CD" w:rsidRDefault="00467C18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hyperlink r:id="rId14" w:anchor="_ftnref3" w:history="1">
        <w:r w:rsidR="00F067CD" w:rsidRPr="00F067CD">
          <w:rPr>
            <w:rFonts w:ascii="inherit" w:eastAsia="Times New Roman" w:hAnsi="inherit" w:cs="Arial"/>
            <w:color w:val="212121"/>
            <w:sz w:val="14"/>
            <w:szCs w:val="14"/>
            <w:u w:val="single"/>
            <w:bdr w:val="none" w:sz="0" w:space="0" w:color="auto" w:frame="1"/>
            <w:lang w:eastAsia="ru-RU"/>
          </w:rPr>
          <w:t>[3]</w:t>
        </w:r>
      </w:hyperlink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 Гражданами США являются следующие лица: а) граждане США, получившие гражданство по рождению или в порядке натурализации, независимо от наличия у них гражданства другого государства; б) лица, не имеющие официально оформленного гражданства США, но родившиеся на территории США, и не отказавшиеся официально от гражданства США.</w:t>
      </w:r>
    </w:p>
    <w:p w:rsidR="00F067CD" w:rsidRPr="00F067CD" w:rsidRDefault="00F067CD" w:rsidP="00F0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D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</w:r>
    </w:p>
    <w:p w:rsidR="00F067CD" w:rsidRPr="00F067CD" w:rsidRDefault="00467C18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hyperlink r:id="rId15" w:anchor="_ftnref4" w:history="1">
        <w:r w:rsidR="00F067CD" w:rsidRPr="00F067CD">
          <w:rPr>
            <w:rFonts w:ascii="inherit" w:eastAsia="Times New Roman" w:hAnsi="inherit" w:cs="Arial"/>
            <w:color w:val="212121"/>
            <w:sz w:val="14"/>
            <w:szCs w:val="14"/>
            <w:u w:val="single"/>
            <w:bdr w:val="none" w:sz="0" w:space="0" w:color="auto" w:frame="1"/>
            <w:lang w:eastAsia="ru-RU"/>
          </w:rPr>
          <w:t>[4]</w:t>
        </w:r>
      </w:hyperlink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 </w:t>
      </w:r>
      <w:proofErr w:type="spellStart"/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Бенефициарным</w:t>
      </w:r>
      <w:proofErr w:type="spellEnd"/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 xml:space="preserve"> владельцем является физическое или юридическое лицо, которое, в конечном счете прямо или косвенно (через третьих лиц) владеет (имеет преобладающее участие более 10% в капитале) Клиентом-юридическим лицом либо имеет возможность контролировать действия Клиента-юридического лица, т.е. физическое лицо или юридическое лицо, обладающее хотя бы одним из следующих квалифицирующих признаков: а) является участником/акционером Клиента, владеющим более 10% долей/акций с правом голоса в уставном капитале Клиента; б) косвенно (через третьих лиц) владеет более 10% долей/акций с правом голоса в уставном капитале Клиента; в) имеет возможность воздействовать на принимаемые Клиентом решения, в том числе об осуществлении сделок, несущих кредитный риск, финансовых операций, оказывать влияние на величину дохода Клиента.</w:t>
      </w:r>
    </w:p>
    <w:p w:rsidR="00F067CD" w:rsidRPr="00F067CD" w:rsidRDefault="00F067CD" w:rsidP="00F0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D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</w:r>
    </w:p>
    <w:p w:rsidR="00F067CD" w:rsidRPr="00F067CD" w:rsidRDefault="00467C18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hyperlink r:id="rId16" w:anchor="_ftnref5" w:history="1">
        <w:r w:rsidR="00F067CD" w:rsidRPr="00F067CD">
          <w:rPr>
            <w:rFonts w:ascii="inherit" w:eastAsia="Times New Roman" w:hAnsi="inherit" w:cs="Arial"/>
            <w:color w:val="212121"/>
            <w:sz w:val="14"/>
            <w:szCs w:val="14"/>
            <w:u w:val="single"/>
            <w:bdr w:val="none" w:sz="0" w:space="0" w:color="auto" w:frame="1"/>
            <w:lang w:eastAsia="ru-RU"/>
          </w:rPr>
          <w:t>[5]</w:t>
        </w:r>
      </w:hyperlink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 xml:space="preserve"> Пассивной нефинансовой организацией является компания, не являющаяся финансовым институтом, более 50% совокупных доходов которой составляют «пассивные» доходы, а также более 50% от средневзвешенной величины активов компании (на конец квартала) составляют активы, приносящие «пассивный» доход. К категории «пассивные доходы» относятся: дивиденды, проценты; доходы, полученные от пула страховых договоров, при условии, что полученные суммы зависят целиком или в части от доходности пула; рента и роялти (за исключением ренты и роялти, полученной в ходе активной операционной деятельности); аннуитеты; прибыль от продажи или обмена имущества, приносящего один из видов вышеуказанных доходов; прибыль от сделок с биржевыми товарами (включая фьючерсы, форварды и аналогичные сделки), за исключением сделок, которые являются хеджирующими, при условии, что сделки с такими товарами являются основной деятельностью организации; прибыль от операций с иностранной валютой (положительные или отрицательные курсовые разницы); контракты, стоимость которых привязана к базовому активу (номиналу), например, </w:t>
      </w:r>
      <w:proofErr w:type="spellStart"/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деривативы</w:t>
      </w:r>
      <w:proofErr w:type="spellEnd"/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 xml:space="preserve"> (валютный СВОП, процентный СВОП, опционы и др.); выкупная сумма по договору страхования или сумма займа, обеспеченная договором страхования; суммы, полученные страховой компанией за счет резервов на осуществление страховой деятельности и аннуитетов. Отнесение Клиента к категории «Пассивная нефинансовая организация» осуществляется на основании основного вида экономической деятельности компании.</w:t>
      </w:r>
    </w:p>
    <w:p w:rsidR="00F067CD" w:rsidRPr="00F067CD" w:rsidRDefault="00F067CD" w:rsidP="00F0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D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</w:r>
    </w:p>
    <w:p w:rsidR="00F067CD" w:rsidRPr="00F067CD" w:rsidRDefault="00467C18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hyperlink r:id="rId17" w:anchor="_ftnref6" w:history="1">
        <w:r w:rsidR="00F067CD" w:rsidRPr="00F067CD">
          <w:rPr>
            <w:rFonts w:ascii="inherit" w:eastAsia="Times New Roman" w:hAnsi="inherit" w:cs="Arial"/>
            <w:color w:val="212121"/>
            <w:sz w:val="14"/>
            <w:szCs w:val="14"/>
            <w:u w:val="single"/>
            <w:bdr w:val="none" w:sz="0" w:space="0" w:color="auto" w:frame="1"/>
            <w:lang w:eastAsia="ru-RU"/>
          </w:rPr>
          <w:t>[6]</w:t>
        </w:r>
      </w:hyperlink>
      <w:r w:rsidR="00F067CD"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 Финансовым институтом является любое юридическое лицо, которое принадлежит к одному из следующих видов организаций: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-   Банковская организация - организация принимает (привлекает во вклады, депозиты) денежные средства физических и юридических лиц в рамках обычной банковской или иной аналогичной деятельности;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lastRenderedPageBreak/>
        <w:t>-   Депозитарная организация - основная деятельность организации связана с оказанием услуг по хранению финансовых активов по поручению других лиц. При этом основной деятельность считается в случае, если прибыль такой организации, получаемая от услуг по хранению финансовых активов по поручению других лиц и иных финансовых услуг, связанных с таким хранением, равна или превышает 20% общей прибыли организации за трехлетний период, рассчитываемый на 31 декабря, предшествующего году, в котором производится подсчет; за период существования организации;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 xml:space="preserve">-   Инвестиционная организация – включает в себя одну из следующих организаций: а) компания, которая в интересах и по поручению Клиента осуществляет один из следующих видов деятельности в качестве основного: торговля инструментами денежного рынка (чеками, долговыми обязательствами, сберегательными сертификатами, </w:t>
      </w:r>
      <w:proofErr w:type="spellStart"/>
      <w:r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деривативами</w:t>
      </w:r>
      <w:proofErr w:type="spellEnd"/>
      <w:r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 xml:space="preserve"> и пр.), иностранной валютой, инструментами, основанными на курсах иностранных валют, процентных ставках и различных индексах, торговля ценными бумагами или товарными фьючерсами; оказание услуг по доверительному управлению на индивидуальной основе либо управление механизмами коллективных инвестиций; оказание иных услуг по инвестированию, администрированию или управлению денежными средствами или финансовыми активами в интересах третьих лиц; б) компания, основной частью выручки которой является выручка от инвестирования, реинвестирования или торговля финансовыми активами, и такая компания управляется другой компанией, которая является банком, депозитарием, страховой или холдинговой компанией или компанией, описанной в п. а) выше. При этом компания считается находящейся под управлением другой компании, если последняя напрямую или через третье лицо осуществляет в отношении управляемой компании деятельность, описанную в п. а) выше; в) компания, являющаяся механизмом коллективных инвестиций, паевым фондом, биржевым фондом, фондом прямых инвестиций, хедж-фондом, венчурным фондом, фондом по выкупу контрольного пакета акций за счет кредита, или другим аналогичным механизмом инвестирования, созданным с целью осуществления определенной инвестиционной стратегии по торговле, инвестированию, реинвестированию или торговле финансовыми активами; г) инвестиционные менеджеры и консультанты;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-   Специализированная страховая организация или холдинговая компания страховой компании – организация, которая заключает и осуществляет выплаты в рамках одного из следующих договоров: а) договор, в соответствии с которым страховщик обязуется выплатить обусловленную договором сумму (страховую сумму) в определенном договором случае, в том числе в случае причинения вреда жизни или здоровью или договор страхования риска возникновения ответственности или договор имущественного страхования стоимостью более 50 000 долларов США; б) договор, в соответствии с которым страховщик обязуется осуществлять выплаты в течение установленного периода полностью или частично одному или нескольким лицам, а также договор, в соответствии с которым страховщик обязуется осуществлять платежи в соответствии с законом, предписанием или сложившейся практикой. Исключение: правительства, государственные органы, публичные международные организации, центральные банки, некоторые пенсионные фонды, иные организации в соответствии с положениями FATCA.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-   Холдинговая компания или казначейский центр – организация, которая: а) входит в расширенную группу аффилированных лиц, включающую финансовый институт, имеющий право принимать денежные средства от Клиентов, депозитарий, страховую компанию, или инвестиционную компанию; б) учреждается или используется коллективным инвестиционным фондом, учрежденным для реализации стратегии инвестирования, реинвестирования, либо торговли финансовыми активами.</w:t>
      </w:r>
    </w:p>
    <w:p w:rsidR="00F067CD" w:rsidRPr="00F067CD" w:rsidRDefault="00F067CD" w:rsidP="00F067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F067CD">
        <w:rPr>
          <w:rFonts w:ascii="inherit" w:eastAsia="Times New Roman" w:hAnsi="inherit" w:cs="Arial"/>
          <w:color w:val="212121"/>
          <w:sz w:val="14"/>
          <w:szCs w:val="14"/>
          <w:bdr w:val="none" w:sz="0" w:space="0" w:color="auto" w:frame="1"/>
          <w:lang w:eastAsia="ru-RU"/>
        </w:rPr>
        <w:t>Отнесение Клиента к категории «Финансовый институт» осуществляется на основании основного вида экономической деятельности компании.</w:t>
      </w:r>
    </w:p>
    <w:p w:rsidR="00967816" w:rsidRDefault="00967816"/>
    <w:sectPr w:rsidR="0096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5BB1"/>
    <w:multiLevelType w:val="multilevel"/>
    <w:tmpl w:val="C46C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0EFC"/>
    <w:multiLevelType w:val="multilevel"/>
    <w:tmpl w:val="016E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947D5"/>
    <w:multiLevelType w:val="multilevel"/>
    <w:tmpl w:val="0578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824C3"/>
    <w:multiLevelType w:val="multilevel"/>
    <w:tmpl w:val="2CDE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3E"/>
    <w:rsid w:val="00467C18"/>
    <w:rsid w:val="00967816"/>
    <w:rsid w:val="00B9013E"/>
    <w:rsid w:val="00F0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72B3D3"/>
  <w15:chartTrackingRefBased/>
  <w15:docId w15:val="{A51796FE-E3C1-4352-9729-436CA9B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13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12" Type="http://schemas.openxmlformats.org/officeDocument/2006/relationships/hyperlink" Target="http://www.eurasiancommission.org/ru" TargetMode="External"/><Relationship Id="rId17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11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5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15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10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Relationship Id="rId14" Type="http://schemas.openxmlformats.org/officeDocument/2006/relationships/hyperlink" Target="file:///K:\Inna%20Chekmezova\%D0%9F%D0%9E%D0%94%D0%A4%D0%A2\fatca\2017.12.26_%D0%9A%D1%80%D0%B8%D1%82%D0%B5%D1%80%D0%B8%D0%B8%20%D0%BE%D1%82%D0%BD%D0%B5%D1%81%D0%B5%D0%BD%D0%B8%D1%8F%20%D0%BA%D0%BB%D0%B8%D0%B5%D0%BD%D1%82%D0%BE%D0%B2%20%D0%BA%20%D0%B8%D0%BD%D0%BE%D1%81%D1%82%D1%80%D0%B0%D0%BD%D0%BD%D1%8B%D0%BC%20%D0%BD%D0%B0%D0%BB%D0%BE%D0%B3%D0%BE%D0%BF%D0%BB%D0%B0%D1%82%D0%B5%D0%BB%D1%8C%D1%89%D0%B8%D0%BA%D0%B0%D0%B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3367</Words>
  <Characters>19198</Characters>
  <Application>Microsoft Office Word</Application>
  <DocSecurity>0</DocSecurity>
  <Lines>159</Lines>
  <Paragraphs>45</Paragraphs>
  <ScaleCrop>false</ScaleCrop>
  <Company>AO Raiffeisenbank</Company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 Dmitry</dc:creator>
  <cp:keywords/>
  <dc:description/>
  <cp:lastModifiedBy>KISELEV Dmitry</cp:lastModifiedBy>
  <cp:revision>3</cp:revision>
  <dcterms:created xsi:type="dcterms:W3CDTF">2023-01-25T12:40:00Z</dcterms:created>
  <dcterms:modified xsi:type="dcterms:W3CDTF">2023-01-25T12:46:00Z</dcterms:modified>
</cp:coreProperties>
</file>